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 INSTITUT ZA POVIJEST UMJETNOSTI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 10000 ZAGREB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 ULICA GRADA VUKOVARA 68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GRAD ZAGREB/GRAD ZAGREB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BROJ RKP-A: 02942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6. MB: 01339958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 OIB: 59451980348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8. RAZINA: 11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9. RAZDJEL: 080</w:t>
      </w:r>
    </w:p>
    <w:p w:rsidR="00D32A39" w:rsidRPr="00791C37" w:rsidRDefault="00D32A39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10. ŠIFRA DJELANOSTI: 7220</w:t>
      </w:r>
    </w:p>
    <w:p w:rsidR="00D32A39" w:rsidRPr="00791C37" w:rsidRDefault="00734A82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11. OZNAKA RAZDOBLJA: </w:t>
      </w:r>
      <w:r w:rsidR="00EB49BD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PRVO POLUGODIŠTE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2023</w:t>
      </w:r>
      <w:r w:rsidR="00EB49BD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A355F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F41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bookmarkStart w:id="0" w:name="_GoBack"/>
      <w:bookmarkEnd w:id="0"/>
    </w:p>
    <w:p w:rsidR="00D32A39" w:rsidRPr="00791C37" w:rsidRDefault="002563D4" w:rsidP="00D32A3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9A634C" w:rsidRPr="00791C37" w:rsidRDefault="00B3225B" w:rsidP="009A634C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OBRAZLOŽENJE OPĆEG DIJELA </w:t>
      </w:r>
      <w:r w:rsidR="009A634C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IZVRŠENJA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FINANCIJSKOG PLANA</w:t>
      </w:r>
    </w:p>
    <w:p w:rsidR="009A634C" w:rsidRPr="00791C37" w:rsidRDefault="009A634C" w:rsidP="009A634C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PRORAČUNSKOG KORISNIKA DRŽAVNOG PRORAČUNA INSTITUTA ZA POVIJEST UMJETNOSTI</w:t>
      </w:r>
    </w:p>
    <w:p w:rsidR="009A634C" w:rsidRPr="00791C37" w:rsidRDefault="009A634C" w:rsidP="009A634C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ZA PRVO POLUGODIŠTE 2023. GODINE // I – VI MJESEC</w:t>
      </w:r>
      <w:r w:rsidR="000F413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</w:t>
      </w:r>
    </w:p>
    <w:p w:rsidR="009A634C" w:rsidRPr="00791C37" w:rsidRDefault="009A634C" w:rsidP="009A634C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474A4" w:rsidRPr="00791C37" w:rsidRDefault="001474A4" w:rsidP="00B3225B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</w:p>
    <w:p w:rsidR="00A12A89" w:rsidRPr="00791C37" w:rsidRDefault="00673569" w:rsidP="00B3225B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Pravni temelj</w:t>
      </w:r>
    </w:p>
    <w:p w:rsidR="00673569" w:rsidRPr="00791C37" w:rsidRDefault="00673569" w:rsidP="00B3225B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članak 24. Zakona o proračunu (NN, br.144/21)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(dalje: ZoP)</w:t>
      </w:r>
    </w:p>
    <w:p w:rsidR="00673569" w:rsidRPr="00791C37" w:rsidRDefault="00673569" w:rsidP="0091795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članak 42. Pravilnika o polugodišnjem i godišnjem izvještaju o izvršenju proračuna i financijskog plana (NN, br. 85/23)</w:t>
      </w:r>
    </w:p>
    <w:p w:rsidR="00673569" w:rsidRPr="00791C37" w:rsidRDefault="00673569" w:rsidP="0091795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673569" w:rsidRPr="00791C37" w:rsidRDefault="00673569" w:rsidP="00917959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Obrazloženje</w:t>
      </w:r>
    </w:p>
    <w:p w:rsidR="00673569" w:rsidRPr="00791C37" w:rsidRDefault="00D867A8" w:rsidP="001474A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Financijski plan Instituta za 2023. godinu i projekcij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 sljedeće dvije 2024. i 2025. godine, 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usklađen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je p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uputi Ministarstva znanosti 1.12.2022.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 konačno usvojenim Državnim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proračunom 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RH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2023. i projekcijama za 2024. i 2025. godinu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usvoj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 je na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A634C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Upravno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</w:t>
      </w:r>
      <w:r w:rsidR="009A634C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vijeć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Instituta 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102. sjednici 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održanoj 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28.12.202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(čl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38. stavku 7. ZoP)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 w:rsidR="009A634C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stupio je 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</w:t>
      </w:r>
      <w:r w:rsidR="009A634C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snagu 1. siječ</w:t>
      </w:r>
      <w:r w:rsidR="00BF74C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nja</w:t>
      </w:r>
      <w:r w:rsidR="009A634C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2023.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godine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te je</w:t>
      </w:r>
      <w:r w:rsidR="003C794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objavljen na mrežnim stranicama Instituta (čl. 44. ZoP)</w:t>
      </w:r>
      <w:r w:rsidR="0091795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B17D35" w:rsidRPr="00791C37" w:rsidRDefault="00B17D35" w:rsidP="001474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CA6085" w:rsidRPr="00791C37" w:rsidRDefault="00CA6085" w:rsidP="001474A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lastRenderedPageBreak/>
        <w:t>Pravilnik</w:t>
      </w:r>
      <w:r w:rsidR="00673569" w:rsidRPr="00791C3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om</w:t>
      </w:r>
      <w:r w:rsidRPr="00791C3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o polugodišnjem i godišnjem izvještaju o izvršenju proračuna i financijskog plana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(NN broj 85/23)</w:t>
      </w:r>
      <w:r w:rsidR="0067356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propisana je obveza izrade polugodišnjeg izvještaja o izvršenju financijskog plana za 2023. godinu (u daljnjem tekstu: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Polugodišnji izvještaj)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na način da isti sadrži opći i posebni dio polugodišnjeg izvještaja o izvršenju financijskog plana za 2023., obrazloženje i posebne izvještaje.</w:t>
      </w:r>
    </w:p>
    <w:p w:rsidR="00BF74C4" w:rsidRPr="00791C37" w:rsidRDefault="00BF74C4" w:rsidP="001474A4">
      <w:pPr>
        <w:pStyle w:val="Default"/>
        <w:spacing w:line="276" w:lineRule="auto"/>
        <w:rPr>
          <w:color w:val="262626" w:themeColor="text1" w:themeTint="D9"/>
        </w:rPr>
      </w:pPr>
    </w:p>
    <w:p w:rsidR="00673569" w:rsidRPr="00791C37" w:rsidRDefault="00CA6085" w:rsidP="001474A4">
      <w:pPr>
        <w:pStyle w:val="Default"/>
        <w:spacing w:line="276" w:lineRule="auto"/>
        <w:rPr>
          <w:color w:val="262626" w:themeColor="text1" w:themeTint="D9"/>
        </w:rPr>
      </w:pPr>
      <w:r w:rsidRPr="00791C37">
        <w:rPr>
          <w:color w:val="262626" w:themeColor="text1" w:themeTint="D9"/>
        </w:rPr>
        <w:t>Obrazloženje općeg dijela polugodišnjeg izvještaja o izvršenju financijskog plana Instituta, sukladno članku 43. Pravilnika sadrži:</w:t>
      </w:r>
    </w:p>
    <w:p w:rsidR="00CA6085" w:rsidRPr="00791C37" w:rsidRDefault="00CA6085" w:rsidP="001474A4">
      <w:pPr>
        <w:pStyle w:val="Default"/>
        <w:numPr>
          <w:ilvl w:val="0"/>
          <w:numId w:val="9"/>
        </w:numPr>
        <w:spacing w:after="9" w:line="276" w:lineRule="auto"/>
        <w:rPr>
          <w:color w:val="262626" w:themeColor="text1" w:themeTint="D9"/>
        </w:rPr>
      </w:pPr>
      <w:r w:rsidRPr="00791C37">
        <w:rPr>
          <w:color w:val="262626" w:themeColor="text1" w:themeTint="D9"/>
        </w:rPr>
        <w:t>-</w:t>
      </w:r>
      <w:r w:rsidR="001474A4" w:rsidRPr="00791C37">
        <w:rPr>
          <w:color w:val="262626" w:themeColor="text1" w:themeTint="D9"/>
        </w:rPr>
        <w:t xml:space="preserve"> </w:t>
      </w:r>
      <w:r w:rsidRPr="00791C37">
        <w:rPr>
          <w:color w:val="262626" w:themeColor="text1" w:themeTint="D9"/>
        </w:rPr>
        <w:t>obrazloženje ostvarenja prihoda i rashoda, primitaka i izdataka u izvještajnom razdoblju,</w:t>
      </w:r>
    </w:p>
    <w:p w:rsidR="00CA6085" w:rsidRPr="00791C37" w:rsidRDefault="00CA6085" w:rsidP="001474A4">
      <w:pPr>
        <w:pStyle w:val="Default"/>
        <w:numPr>
          <w:ilvl w:val="0"/>
          <w:numId w:val="9"/>
        </w:numPr>
        <w:spacing w:line="276" w:lineRule="auto"/>
        <w:rPr>
          <w:color w:val="262626" w:themeColor="text1" w:themeTint="D9"/>
        </w:rPr>
      </w:pPr>
      <w:r w:rsidRPr="00791C37">
        <w:rPr>
          <w:color w:val="262626" w:themeColor="text1" w:themeTint="D9"/>
        </w:rPr>
        <w:t>- obrazloženje ostvarenog prijenosa sredstava iz prethodne godine i prijenosa sredstava u sljedeću godinu/razdoblje.</w:t>
      </w:r>
    </w:p>
    <w:p w:rsidR="00CA6085" w:rsidRPr="00791C37" w:rsidRDefault="00CA6085" w:rsidP="001474A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A6085" w:rsidRPr="00791C37" w:rsidRDefault="00CA6085" w:rsidP="001474A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Polugodišnji izvještaj daje se Upravnom vijeću Instituta na usvajanje, te dostavlja nadležnom ministarstvu znanosti.</w:t>
      </w:r>
    </w:p>
    <w:p w:rsidR="00673569" w:rsidRPr="00791C37" w:rsidRDefault="00673569" w:rsidP="001474A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izvještajnom razdoblju Institut nije radio rebalans financijskog plana.</w:t>
      </w:r>
    </w:p>
    <w:p w:rsidR="0004160E" w:rsidRPr="00791C37" w:rsidRDefault="0004160E" w:rsidP="001474A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6228D" w:rsidRPr="00791C37" w:rsidRDefault="0086228D" w:rsidP="001474A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 p</w:t>
      </w:r>
      <w:r w:rsidR="0067356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oslovanje i financiranje Instituta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doneseni su sljedeći financijsko-planski dokumenti:</w:t>
      </w:r>
    </w:p>
    <w:p w:rsidR="0086228D" w:rsidRPr="00791C37" w:rsidRDefault="001474A4" w:rsidP="001474A4">
      <w:pPr>
        <w:spacing w:after="0" w:line="276" w:lineRule="auto"/>
        <w:rPr>
          <w:rFonts w:ascii="Times New Roman" w:hAnsi="Times New Roman" w:cs="Times New Roman"/>
          <w:color w:val="262626" w:themeColor="text1" w:themeTint="D9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// 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Financijski plan za 2023.i projekcije za 2024. i 2025. godinu, usvojen na Upravnom vijeću 28.12.2022.</w:t>
      </w:r>
    </w:p>
    <w:p w:rsidR="0086228D" w:rsidRPr="00791C37" w:rsidRDefault="001474A4" w:rsidP="001474A4">
      <w:pPr>
        <w:spacing w:after="0" w:line="276" w:lineRule="auto"/>
        <w:rPr>
          <w:rFonts w:ascii="Times New Roman" w:hAnsi="Times New Roman" w:cs="Times New Roman"/>
          <w:color w:val="262626" w:themeColor="text1" w:themeTint="D9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// 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provedbeni G</w:t>
      </w:r>
      <w:r w:rsidR="00673569" w:rsidRPr="00791C37">
        <w:rPr>
          <w:rFonts w:ascii="Times New Roman" w:hAnsi="Times New Roman" w:cs="Times New Roman"/>
          <w:color w:val="262626" w:themeColor="text1" w:themeTint="D9"/>
          <w:szCs w:val="24"/>
        </w:rPr>
        <w:t>odišnj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i</w:t>
      </w:r>
      <w:r w:rsidR="00673569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 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program</w:t>
      </w:r>
      <w:r w:rsidR="00673569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 rada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 Instituta</w:t>
      </w:r>
      <w:r w:rsidR="00673569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 za 2023. godin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u</w:t>
      </w:r>
      <w:r w:rsidR="00673569" w:rsidRPr="00791C37">
        <w:rPr>
          <w:rFonts w:ascii="Times New Roman" w:hAnsi="Times New Roman" w:cs="Times New Roman"/>
          <w:color w:val="262626" w:themeColor="text1" w:themeTint="D9"/>
          <w:szCs w:val="24"/>
        </w:rPr>
        <w:t>,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 usvojen na Upravnom vijeću </w:t>
      </w:r>
      <w:r w:rsidR="0004160E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16.2.2023. i elektronski konačni dokument usvojen 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20.2.2023.</w:t>
      </w:r>
    </w:p>
    <w:p w:rsidR="00673569" w:rsidRPr="00791C37" w:rsidRDefault="001474A4" w:rsidP="001474A4">
      <w:pPr>
        <w:spacing w:after="0" w:line="276" w:lineRule="auto"/>
        <w:rPr>
          <w:rFonts w:ascii="Times New Roman" w:hAnsi="Times New Roman" w:cs="Times New Roman"/>
          <w:color w:val="262626" w:themeColor="text1" w:themeTint="D9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// 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>Akcijski plan provedbe strateškog programa znanstvenih istraživanja za razdoblje 2020. – 2025, donesen na Upravnom vijeću 15.9.2021.</w:t>
      </w:r>
    </w:p>
    <w:p w:rsidR="0086228D" w:rsidRPr="00791C37" w:rsidRDefault="001474A4" w:rsidP="001474A4">
      <w:pPr>
        <w:spacing w:after="0" w:line="276" w:lineRule="auto"/>
        <w:rPr>
          <w:rFonts w:ascii="Times New Roman" w:hAnsi="Times New Roman" w:cs="Times New Roman"/>
          <w:color w:val="262626" w:themeColor="text1" w:themeTint="D9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// </w:t>
      </w:r>
      <w:r w:rsidR="0086228D" w:rsidRPr="00791C37">
        <w:rPr>
          <w:rFonts w:ascii="Times New Roman" w:hAnsi="Times New Roman" w:cs="Times New Roman"/>
          <w:color w:val="262626" w:themeColor="text1" w:themeTint="D9"/>
          <w:szCs w:val="24"/>
        </w:rPr>
        <w:t xml:space="preserve">Strategija razvoja i strateški program znanstvenih istraživanja Instituta za povijest umjetnosti za razdoblje 2020. – 2025., usvojen </w:t>
      </w:r>
      <w:r w:rsidR="0004160E" w:rsidRPr="00791C37">
        <w:rPr>
          <w:rFonts w:ascii="Times New Roman" w:hAnsi="Times New Roman" w:cs="Times New Roman"/>
          <w:color w:val="262626" w:themeColor="text1" w:themeTint="D9"/>
          <w:szCs w:val="24"/>
        </w:rPr>
        <w:t>18.12.2020., konačni dokument usvojen 15.9.2021.</w:t>
      </w:r>
    </w:p>
    <w:p w:rsidR="0004160E" w:rsidRPr="00791C37" w:rsidRDefault="0004160E" w:rsidP="001474A4">
      <w:pPr>
        <w:spacing w:after="0"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17D35" w:rsidRPr="00791C37" w:rsidRDefault="00B17D35" w:rsidP="001474A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4160E" w:rsidRPr="00791C37" w:rsidRDefault="0004160E" w:rsidP="001474A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 temelju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čl. 59. st. 4. </w:t>
      </w:r>
      <w:r w:rsidRPr="00791C37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Zakona o izvršavanju Državnog proračuna RH za 2022. godinu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(NN 62/22, 131/22) Institut kao proračunski korisnik u sustavu znanosti nema obvezu uplate namjenskih i vlastitih prihoda u državni proračun, pa je 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na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sjednici Upravnog vijeća 16.2.2023. godine donesena odluka da se sredstva prenesen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iz prethodne godine i ostvareni višak prihoda raspoloživ u sljedećem razdoblju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 iznosu od 1.794.209</w:t>
      </w:r>
      <w:r w:rsidR="00B17D35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,27 HRK (238.132,49 </w:t>
      </w:r>
      <w:r w:rsidR="007B70A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EUR</w:t>
      </w:r>
      <w:r w:rsidR="00B17D35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)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korist</w:t>
      </w:r>
      <w:r w:rsidR="00B17D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namjenski za financiranje znanstveno-istraživačkog rada i projekata te podmirenje rashoda redovne djelatnosti Instituta prema financijskom planu za 2023. - 2025. godinu.</w:t>
      </w:r>
    </w:p>
    <w:p w:rsidR="0004160E" w:rsidRPr="00791C37" w:rsidRDefault="0004160E" w:rsidP="001474A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F6E57" w:rsidRPr="00791C37" w:rsidRDefault="003C7947" w:rsidP="001474A4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 w:type="column"/>
      </w:r>
    </w:p>
    <w:p w:rsidR="00596841" w:rsidRPr="00791C37" w:rsidRDefault="00596841" w:rsidP="00596841">
      <w:pPr>
        <w:spacing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</w:pPr>
      <w:r w:rsidRPr="00791C3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  <w:t>OPĆI DIO POLUGODIŠNJEG IZVJEŠTAJA</w:t>
      </w:r>
    </w:p>
    <w:p w:rsidR="00B17D35" w:rsidRPr="00791C37" w:rsidRDefault="00B17D35" w:rsidP="00596841">
      <w:pPr>
        <w:spacing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</w:pPr>
    </w:p>
    <w:p w:rsidR="00B17D35" w:rsidRPr="00791C37" w:rsidRDefault="00B17D35" w:rsidP="00B17D35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</w:pPr>
      <w:r w:rsidRPr="00791C37">
        <w:rPr>
          <w:rFonts w:ascii="Times New Roman" w:hAnsi="Times New Roman" w:cs="Times New Roman"/>
          <w:color w:val="262626" w:themeColor="text1" w:themeTint="D9"/>
        </w:rPr>
        <w:t>U navedenom izvještajnom razdoblju prihodi i primici te rashodi i izdaci izvršeni su kako slijedi:</w:t>
      </w:r>
    </w:p>
    <w:p w:rsidR="00596841" w:rsidRPr="00791C37" w:rsidRDefault="00596841" w:rsidP="0059684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A) SAŽETAK RAČUNA PRIHODA I RASHODA</w:t>
      </w:r>
    </w:p>
    <w:p w:rsidR="00CF6E57" w:rsidRPr="00791C37" w:rsidRDefault="009A2931" w:rsidP="009A2931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0"/>
          <w:szCs w:val="24"/>
        </w:rPr>
        <w:t>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1545"/>
        <w:gridCol w:w="1654"/>
        <w:gridCol w:w="950"/>
        <w:gridCol w:w="955"/>
      </w:tblGrid>
      <w:tr w:rsidR="009A2931" w:rsidRPr="00791C37" w:rsidTr="005C3B20">
        <w:tc>
          <w:tcPr>
            <w:tcW w:w="2830" w:type="dxa"/>
            <w:shd w:val="clear" w:color="auto" w:fill="DEEAF6" w:themeFill="accent1" w:themeFillTint="33"/>
          </w:tcPr>
          <w:p w:rsidR="00CF6E57" w:rsidRPr="00791C37" w:rsidRDefault="00CF6E57" w:rsidP="009A2931">
            <w:pPr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BROJČANA OZNAKA I NAZIV</w:t>
            </w: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1.-6.2022.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FINANCIJSKI PLAN 2023.</w:t>
            </w:r>
          </w:p>
        </w:tc>
        <w:tc>
          <w:tcPr>
            <w:tcW w:w="1654" w:type="dxa"/>
            <w:shd w:val="clear" w:color="auto" w:fill="DEEAF6" w:themeFill="accent1" w:themeFillTint="33"/>
            <w:vAlign w:val="center"/>
          </w:tcPr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1.-6.2023.</w:t>
            </w:r>
          </w:p>
        </w:tc>
        <w:tc>
          <w:tcPr>
            <w:tcW w:w="950" w:type="dxa"/>
            <w:shd w:val="clear" w:color="auto" w:fill="DEEAF6" w:themeFill="accent1" w:themeFillTint="33"/>
            <w:vAlign w:val="center"/>
          </w:tcPr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  <w:tc>
          <w:tcPr>
            <w:tcW w:w="955" w:type="dxa"/>
            <w:shd w:val="clear" w:color="auto" w:fill="DEEAF6" w:themeFill="accent1" w:themeFillTint="33"/>
            <w:vAlign w:val="center"/>
          </w:tcPr>
          <w:p w:rsidR="00CF6E57" w:rsidRPr="00791C37" w:rsidRDefault="00CF6E57" w:rsidP="00CF6E5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PRIHODI UKUPNO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787.118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1.821.606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870.965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  <w:t>110,65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  <w:t>47,81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6 PRIHODI POSLOVANJA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787.118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1.821.606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870.965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110,65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47,81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7 PRIHODI OD NEFINANCIJSKE IMOVINE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0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0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0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0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RASHODI UKUPNO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795.230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1.821.606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839.413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  <w:t>105,56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  <w:t>46,08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3 RASHODI POSLOVANJA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785.198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1.788.411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825.877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105,18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46,18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 RASHODI ZA NEFINANCIJSKU IMOVINU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10.032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33.195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13.536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134,93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40,78</w:t>
            </w:r>
          </w:p>
        </w:tc>
      </w:tr>
      <w:tr w:rsidR="009A2931" w:rsidRPr="00791C37" w:rsidTr="00563DA4">
        <w:tc>
          <w:tcPr>
            <w:tcW w:w="2830" w:type="dxa"/>
          </w:tcPr>
          <w:p w:rsidR="00CF6E57" w:rsidRPr="00791C37" w:rsidRDefault="009A2931" w:rsidP="009A2931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  <w:t>RAZLIKA – VIŠAK/MANJAK</w:t>
            </w:r>
          </w:p>
        </w:tc>
        <w:tc>
          <w:tcPr>
            <w:tcW w:w="1416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- 8.112</w:t>
            </w:r>
          </w:p>
        </w:tc>
        <w:tc>
          <w:tcPr>
            <w:tcW w:w="1545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:rsidR="00CF6E57" w:rsidRPr="00791C37" w:rsidRDefault="006D14BD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31.552</w:t>
            </w:r>
          </w:p>
        </w:tc>
        <w:tc>
          <w:tcPr>
            <w:tcW w:w="950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  <w:t>-</w:t>
            </w:r>
          </w:p>
        </w:tc>
        <w:tc>
          <w:tcPr>
            <w:tcW w:w="955" w:type="dxa"/>
            <w:vAlign w:val="center"/>
          </w:tcPr>
          <w:p w:rsidR="00CF6E57" w:rsidRPr="00791C37" w:rsidRDefault="005C3B20" w:rsidP="00563DA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0"/>
              </w:rPr>
              <w:t>-</w:t>
            </w:r>
          </w:p>
        </w:tc>
      </w:tr>
    </w:tbl>
    <w:p w:rsidR="00CF6E57" w:rsidRPr="00791C37" w:rsidRDefault="00CF6E57" w:rsidP="00A564CE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A2931" w:rsidRPr="00791C37" w:rsidRDefault="009A2931" w:rsidP="009A2931">
      <w:pPr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B) SAŽETAK RAČUNA FINANCIRANJA</w:t>
      </w:r>
    </w:p>
    <w:p w:rsidR="00CF6E57" w:rsidRPr="00791C37" w:rsidRDefault="00CF6E57" w:rsidP="001474A4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1545"/>
        <w:gridCol w:w="1654"/>
        <w:gridCol w:w="950"/>
        <w:gridCol w:w="955"/>
      </w:tblGrid>
      <w:tr w:rsidR="009A2931" w:rsidRPr="00791C37" w:rsidTr="005C3B20">
        <w:tc>
          <w:tcPr>
            <w:tcW w:w="2830" w:type="dxa"/>
            <w:shd w:val="clear" w:color="auto" w:fill="DEEAF6" w:themeFill="accent1" w:themeFillTint="33"/>
          </w:tcPr>
          <w:p w:rsidR="009A2931" w:rsidRPr="00791C37" w:rsidRDefault="009A2931" w:rsidP="007A6FA8">
            <w:pPr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1.-6.2022.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FINANCIJSKI PLAN 2023.</w:t>
            </w:r>
          </w:p>
        </w:tc>
        <w:tc>
          <w:tcPr>
            <w:tcW w:w="1654" w:type="dxa"/>
            <w:shd w:val="clear" w:color="auto" w:fill="DEEAF6" w:themeFill="accent1" w:themeFillTint="33"/>
            <w:vAlign w:val="center"/>
          </w:tcPr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IZVRŠENJE</w:t>
            </w:r>
          </w:p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1.-6.2023.</w:t>
            </w:r>
          </w:p>
        </w:tc>
        <w:tc>
          <w:tcPr>
            <w:tcW w:w="950" w:type="dxa"/>
            <w:shd w:val="clear" w:color="auto" w:fill="DEEAF6" w:themeFill="accent1" w:themeFillTint="33"/>
            <w:vAlign w:val="center"/>
          </w:tcPr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  <w:tc>
          <w:tcPr>
            <w:tcW w:w="955" w:type="dxa"/>
            <w:shd w:val="clear" w:color="auto" w:fill="DEEAF6" w:themeFill="accent1" w:themeFillTint="33"/>
            <w:vAlign w:val="center"/>
          </w:tcPr>
          <w:p w:rsidR="009A2931" w:rsidRPr="00791C37" w:rsidRDefault="009A2931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</w:rPr>
              <w:t>INDEKS</w:t>
            </w:r>
          </w:p>
        </w:tc>
      </w:tr>
      <w:tr w:rsidR="009A2931" w:rsidRPr="00791C37" w:rsidTr="00563DA4">
        <w:tc>
          <w:tcPr>
            <w:tcW w:w="2830" w:type="dxa"/>
          </w:tcPr>
          <w:p w:rsidR="009A2931" w:rsidRPr="00791C37" w:rsidRDefault="009A2931" w:rsidP="007A6FA8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8 PRIMICI OD FINANCIJSKE IMOVINE I ZADUŽIVANJA</w:t>
            </w:r>
          </w:p>
        </w:tc>
        <w:tc>
          <w:tcPr>
            <w:tcW w:w="1416" w:type="dxa"/>
            <w:vAlign w:val="center"/>
          </w:tcPr>
          <w:p w:rsidR="009A2931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545" w:type="dxa"/>
            <w:vAlign w:val="center"/>
          </w:tcPr>
          <w:p w:rsidR="009A2931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654" w:type="dxa"/>
            <w:vAlign w:val="center"/>
          </w:tcPr>
          <w:p w:rsidR="009A2931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50" w:type="dxa"/>
            <w:vAlign w:val="center"/>
          </w:tcPr>
          <w:p w:rsidR="009A2931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9A2931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</w:tr>
      <w:tr w:rsidR="009A2931" w:rsidRPr="00791C37" w:rsidTr="00563DA4">
        <w:tc>
          <w:tcPr>
            <w:tcW w:w="2830" w:type="dxa"/>
          </w:tcPr>
          <w:p w:rsidR="009A2931" w:rsidRPr="00791C37" w:rsidRDefault="009A2931" w:rsidP="007A6FA8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5 IZDACI ZA FINANCIJSKU IMOVINU I OTPLATE ZAJMOVA</w:t>
            </w:r>
          </w:p>
        </w:tc>
        <w:tc>
          <w:tcPr>
            <w:tcW w:w="1416" w:type="dxa"/>
            <w:vAlign w:val="center"/>
          </w:tcPr>
          <w:p w:rsidR="009A2931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545" w:type="dxa"/>
            <w:vAlign w:val="center"/>
          </w:tcPr>
          <w:p w:rsidR="009A2931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654" w:type="dxa"/>
            <w:vAlign w:val="center"/>
          </w:tcPr>
          <w:p w:rsidR="009A2931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50" w:type="dxa"/>
            <w:vAlign w:val="center"/>
          </w:tcPr>
          <w:p w:rsidR="009A2931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9A2931" w:rsidRPr="00791C37" w:rsidRDefault="005C3B20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</w:tr>
      <w:tr w:rsidR="009A2931" w:rsidRPr="00791C37" w:rsidTr="00563DA4">
        <w:tc>
          <w:tcPr>
            <w:tcW w:w="2830" w:type="dxa"/>
          </w:tcPr>
          <w:p w:rsidR="009A2931" w:rsidRPr="00791C37" w:rsidRDefault="009A2931" w:rsidP="007A6FA8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9A2931" w:rsidRPr="00791C37" w:rsidRDefault="009A2931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45" w:type="dxa"/>
            <w:vAlign w:val="center"/>
          </w:tcPr>
          <w:p w:rsidR="009A2931" w:rsidRPr="00791C37" w:rsidRDefault="009A2931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654" w:type="dxa"/>
            <w:vAlign w:val="center"/>
          </w:tcPr>
          <w:p w:rsidR="009A2931" w:rsidRPr="00791C37" w:rsidRDefault="009A2931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950" w:type="dxa"/>
            <w:vAlign w:val="center"/>
          </w:tcPr>
          <w:p w:rsidR="009A2931" w:rsidRPr="00791C37" w:rsidRDefault="009A2931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9A2931" w:rsidRPr="00791C37" w:rsidRDefault="009A2931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D14BD" w:rsidRPr="00791C37" w:rsidTr="00563DA4">
        <w:tc>
          <w:tcPr>
            <w:tcW w:w="2830" w:type="dxa"/>
          </w:tcPr>
          <w:p w:rsidR="006D14BD" w:rsidRPr="00791C37" w:rsidRDefault="006D14BD" w:rsidP="006D14BD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DONOS – PRIJENOS SREDSTAVA IZ PRETHODNE GODINE</w:t>
            </w:r>
          </w:p>
        </w:tc>
        <w:tc>
          <w:tcPr>
            <w:tcW w:w="1416" w:type="dxa"/>
            <w:vAlign w:val="center"/>
          </w:tcPr>
          <w:p w:rsidR="006D14BD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232.801</w:t>
            </w:r>
          </w:p>
        </w:tc>
        <w:tc>
          <w:tcPr>
            <w:tcW w:w="1545" w:type="dxa"/>
            <w:vAlign w:val="center"/>
          </w:tcPr>
          <w:p w:rsidR="006D14BD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125.131</w:t>
            </w:r>
          </w:p>
        </w:tc>
        <w:tc>
          <w:tcPr>
            <w:tcW w:w="1654" w:type="dxa"/>
            <w:vAlign w:val="center"/>
          </w:tcPr>
          <w:p w:rsidR="006D14BD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238.132</w:t>
            </w:r>
          </w:p>
        </w:tc>
        <w:tc>
          <w:tcPr>
            <w:tcW w:w="950" w:type="dxa"/>
            <w:vAlign w:val="center"/>
          </w:tcPr>
          <w:p w:rsidR="006D14BD" w:rsidRPr="00791C37" w:rsidRDefault="00E577E5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102,29</w:t>
            </w:r>
          </w:p>
        </w:tc>
        <w:tc>
          <w:tcPr>
            <w:tcW w:w="955" w:type="dxa"/>
            <w:vAlign w:val="center"/>
          </w:tcPr>
          <w:p w:rsidR="006D14BD" w:rsidRPr="00791C37" w:rsidRDefault="00E577E5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190,31</w:t>
            </w:r>
          </w:p>
        </w:tc>
      </w:tr>
      <w:tr w:rsidR="006D14BD" w:rsidRPr="00791C37" w:rsidTr="00563DA4">
        <w:tc>
          <w:tcPr>
            <w:tcW w:w="2830" w:type="dxa"/>
          </w:tcPr>
          <w:p w:rsidR="006D14BD" w:rsidRPr="00791C37" w:rsidRDefault="006D14BD" w:rsidP="006D14BD">
            <w:pPr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ODNOS – PRIJENOS SREDSTAVA U SLJEDEĆU GODINU</w:t>
            </w:r>
          </w:p>
        </w:tc>
        <w:tc>
          <w:tcPr>
            <w:tcW w:w="1416" w:type="dxa"/>
            <w:vAlign w:val="center"/>
          </w:tcPr>
          <w:p w:rsidR="006D14BD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- 224.689</w:t>
            </w:r>
          </w:p>
        </w:tc>
        <w:tc>
          <w:tcPr>
            <w:tcW w:w="1545" w:type="dxa"/>
            <w:vAlign w:val="center"/>
          </w:tcPr>
          <w:p w:rsidR="006D14BD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- 125.131</w:t>
            </w:r>
          </w:p>
        </w:tc>
        <w:tc>
          <w:tcPr>
            <w:tcW w:w="1654" w:type="dxa"/>
            <w:vAlign w:val="center"/>
          </w:tcPr>
          <w:p w:rsidR="006D14BD" w:rsidRPr="00791C37" w:rsidRDefault="006D14BD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- 269.684</w:t>
            </w:r>
          </w:p>
        </w:tc>
        <w:tc>
          <w:tcPr>
            <w:tcW w:w="950" w:type="dxa"/>
            <w:vAlign w:val="center"/>
          </w:tcPr>
          <w:p w:rsidR="006D14BD" w:rsidRPr="00791C37" w:rsidRDefault="00E577E5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120,03</w:t>
            </w:r>
          </w:p>
        </w:tc>
        <w:tc>
          <w:tcPr>
            <w:tcW w:w="955" w:type="dxa"/>
            <w:vAlign w:val="center"/>
          </w:tcPr>
          <w:p w:rsidR="006D14BD" w:rsidRPr="00791C37" w:rsidRDefault="00E577E5" w:rsidP="00563DA4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20"/>
              </w:rPr>
              <w:t>215,52</w:t>
            </w:r>
          </w:p>
        </w:tc>
      </w:tr>
      <w:tr w:rsidR="00E577E5" w:rsidRPr="00791C37" w:rsidTr="00563DA4">
        <w:tc>
          <w:tcPr>
            <w:tcW w:w="2830" w:type="dxa"/>
          </w:tcPr>
          <w:p w:rsidR="00E577E5" w:rsidRPr="00791C37" w:rsidRDefault="00E577E5" w:rsidP="00E577E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NETO FINANCIRANJE</w:t>
            </w:r>
          </w:p>
        </w:tc>
        <w:tc>
          <w:tcPr>
            <w:tcW w:w="1416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8.112</w:t>
            </w:r>
          </w:p>
        </w:tc>
        <w:tc>
          <w:tcPr>
            <w:tcW w:w="1545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654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- 31.552</w:t>
            </w:r>
          </w:p>
        </w:tc>
        <w:tc>
          <w:tcPr>
            <w:tcW w:w="950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</w:tr>
    </w:tbl>
    <w:p w:rsidR="009A2931" w:rsidRPr="00791C37" w:rsidRDefault="009A2931" w:rsidP="00A564CE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1545"/>
        <w:gridCol w:w="1654"/>
        <w:gridCol w:w="950"/>
        <w:gridCol w:w="955"/>
      </w:tblGrid>
      <w:tr w:rsidR="00E577E5" w:rsidRPr="00791C37" w:rsidTr="00563DA4">
        <w:tc>
          <w:tcPr>
            <w:tcW w:w="2830" w:type="dxa"/>
          </w:tcPr>
          <w:p w:rsidR="00E577E5" w:rsidRPr="00791C37" w:rsidRDefault="00E577E5" w:rsidP="00E577E5">
            <w:pP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VIŠAK/MANJAK + NETO FINANCIRANJE</w:t>
            </w:r>
          </w:p>
        </w:tc>
        <w:tc>
          <w:tcPr>
            <w:tcW w:w="1416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545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654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50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  <w:tc>
          <w:tcPr>
            <w:tcW w:w="955" w:type="dxa"/>
            <w:vAlign w:val="center"/>
          </w:tcPr>
          <w:p w:rsidR="00E577E5" w:rsidRPr="00791C37" w:rsidRDefault="00E577E5" w:rsidP="00E577E5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-</w:t>
            </w:r>
          </w:p>
        </w:tc>
      </w:tr>
    </w:tbl>
    <w:p w:rsidR="006D14BD" w:rsidRPr="00791C37" w:rsidRDefault="006D14BD" w:rsidP="00A564CE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17D35" w:rsidRPr="00791C37" w:rsidRDefault="00B17D35" w:rsidP="00B1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Iz sažetka općeg dijela vidljivo je da su u izvještajnom razdoblju ostvareni prihodi i primici od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870.965 </w:t>
      </w:r>
      <w:r w:rsidR="007B70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EUR</w:t>
      </w: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te realizirani rashodi i izdaci od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839.413 EUR</w:t>
      </w: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te je rezultat izvještajnog razdoblju </w:t>
      </w:r>
      <w:r w:rsidRPr="00791C3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pozitivan</w:t>
      </w:r>
      <w:r w:rsidRPr="00B17D35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B17D3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u iznosu od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31.552 EUR.</w:t>
      </w:r>
    </w:p>
    <w:p w:rsidR="00B17D35" w:rsidRPr="00B17D35" w:rsidRDefault="00B17D35" w:rsidP="00B17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17D35" w:rsidRPr="00791C37" w:rsidRDefault="00B17D35" w:rsidP="00830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Godišnjim izvještajem za 202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godinu utvrđen je pozitivan rezultat poslovanja u iznosu od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1.794.209,27 HRK (238.132,49 EUR) </w:t>
      </w: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te je prenesen u 202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</w:t>
      </w:r>
      <w:r w:rsidRPr="00B17D3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 godinu tako da ukupni rezultat poslovanja na dan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30.06.2023. godine je</w:t>
      </w:r>
      <w:r w:rsidRPr="00791C3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višak u iznosu od 269.684 EUR</w:t>
      </w:r>
      <w:r w:rsidR="00830756" w:rsidRPr="00791C3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.</w:t>
      </w:r>
    </w:p>
    <w:p w:rsidR="00BF74C4" w:rsidRPr="00791C37" w:rsidRDefault="008C0673" w:rsidP="00A564CE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br w:type="column"/>
      </w:r>
      <w:r w:rsidR="00A564CE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PRIHODI I PRIMICI</w:t>
      </w:r>
    </w:p>
    <w:p w:rsidR="00646E54" w:rsidRPr="00791C37" w:rsidRDefault="00B3225B" w:rsidP="000F17F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Prihodi poslovanja za 202</w:t>
      </w:r>
      <w:r w:rsidR="00C15EFE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godinu planirani su u iznosu od </w:t>
      </w:r>
      <w:r w:rsidR="00EB57E3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1.821.606 </w:t>
      </w:r>
      <w:r w:rsidR="00C15EFE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EUR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6508C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A84F38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izvještajnom razdoblju</w:t>
      </w:r>
      <w:r w:rsidR="00553F2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508C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(prvo polugodište) </w:t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ostvareni su </w:t>
      </w:r>
      <w:r w:rsidR="006508C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iznosu od 870.965 EUR ili 47,81%.</w:t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830756" w:rsidRPr="00791C37" w:rsidRDefault="00830756" w:rsidP="000F17F8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Znatnije odstupanja u odnosu na plan je izvršenje 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Prihoda od pružanja usluga koji iznose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75,5%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što se obrazlaže ugovaranje većeg broja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konzervatorskih studija.</w:t>
      </w:r>
    </w:p>
    <w:p w:rsidR="008F2773" w:rsidRPr="00791C37" w:rsidRDefault="008F2773" w:rsidP="00B3225B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34A82" w:rsidRPr="00791C37" w:rsidRDefault="00734A82" w:rsidP="00B3225B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Ukupni prihodi za 2023.godinu</w:t>
      </w:r>
      <w:r w:rsidR="00311C91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– </w:t>
      </w:r>
      <w:r w:rsidR="006508C0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izvršenje prvo polugodište </w:t>
      </w:r>
      <w:r w:rsidR="00311C91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I-VI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544"/>
        <w:gridCol w:w="1307"/>
        <w:gridCol w:w="1407"/>
        <w:gridCol w:w="989"/>
        <w:gridCol w:w="912"/>
      </w:tblGrid>
      <w:tr w:rsidR="00791C37" w:rsidRPr="00791C37" w:rsidTr="000C56F5">
        <w:tc>
          <w:tcPr>
            <w:tcW w:w="3239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VRSTA PRIHODA</w:t>
            </w:r>
          </w:p>
        </w:tc>
        <w:tc>
          <w:tcPr>
            <w:tcW w:w="1556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1.-6.2022.</w:t>
            </w:r>
          </w:p>
        </w:tc>
        <w:tc>
          <w:tcPr>
            <w:tcW w:w="1273" w:type="dxa"/>
            <w:vAlign w:val="center"/>
          </w:tcPr>
          <w:p w:rsidR="000C56F5" w:rsidRPr="00791C37" w:rsidRDefault="00CF6E57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FINANCIJSKI</w:t>
            </w:r>
            <w:r w:rsidR="000C56F5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 xml:space="preserve"> PLAN 2023.</w:t>
            </w:r>
          </w:p>
        </w:tc>
        <w:tc>
          <w:tcPr>
            <w:tcW w:w="1415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1.-6.2023.</w:t>
            </w:r>
          </w:p>
        </w:tc>
        <w:tc>
          <w:tcPr>
            <w:tcW w:w="991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  <w:tc>
          <w:tcPr>
            <w:tcW w:w="876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</w:tr>
      <w:tr w:rsidR="00791C37" w:rsidRPr="00791C37" w:rsidTr="000C56F5">
        <w:tc>
          <w:tcPr>
            <w:tcW w:w="3239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556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1415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991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5</w:t>
            </w:r>
            <w:r w:rsidR="001A281A"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=4/2*100</w:t>
            </w:r>
          </w:p>
        </w:tc>
        <w:tc>
          <w:tcPr>
            <w:tcW w:w="876" w:type="dxa"/>
            <w:vAlign w:val="center"/>
          </w:tcPr>
          <w:p w:rsidR="000C56F5" w:rsidRPr="00791C37" w:rsidRDefault="000C56F5" w:rsidP="000C56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6</w:t>
            </w:r>
            <w:r w:rsidR="001A281A"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=4/3*100</w:t>
            </w:r>
          </w:p>
        </w:tc>
      </w:tr>
      <w:tr w:rsidR="00791C37" w:rsidRPr="00791C37" w:rsidTr="000F5AC7">
        <w:tc>
          <w:tcPr>
            <w:tcW w:w="3239" w:type="dxa"/>
          </w:tcPr>
          <w:p w:rsidR="000C56F5" w:rsidRPr="00791C37" w:rsidRDefault="000C56F5" w:rsidP="006A7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Pomoći iz inozemstva - darovnice</w:t>
            </w:r>
          </w:p>
        </w:tc>
        <w:tc>
          <w:tcPr>
            <w:tcW w:w="1556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113.994</w:t>
            </w:r>
          </w:p>
        </w:tc>
        <w:tc>
          <w:tcPr>
            <w:tcW w:w="1273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129.697 </w:t>
            </w:r>
          </w:p>
        </w:tc>
        <w:tc>
          <w:tcPr>
            <w:tcW w:w="1415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67.080</w:t>
            </w:r>
          </w:p>
        </w:tc>
        <w:tc>
          <w:tcPr>
            <w:tcW w:w="991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58,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9</w:t>
            </w:r>
          </w:p>
        </w:tc>
        <w:tc>
          <w:tcPr>
            <w:tcW w:w="876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51,7</w:t>
            </w:r>
          </w:p>
        </w:tc>
      </w:tr>
      <w:tr w:rsidR="00791C37" w:rsidRPr="00791C37" w:rsidTr="000F5AC7">
        <w:tc>
          <w:tcPr>
            <w:tcW w:w="3239" w:type="dxa"/>
          </w:tcPr>
          <w:p w:rsidR="000C56F5" w:rsidRPr="00791C37" w:rsidRDefault="000C56F5" w:rsidP="006A7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Prihodi od prodaje proizvoda i roba, te pruženih usluga</w:t>
            </w:r>
          </w:p>
        </w:tc>
        <w:tc>
          <w:tcPr>
            <w:tcW w:w="1556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67.270</w:t>
            </w:r>
          </w:p>
        </w:tc>
        <w:tc>
          <w:tcPr>
            <w:tcW w:w="1273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163.249 </w:t>
            </w:r>
          </w:p>
        </w:tc>
        <w:tc>
          <w:tcPr>
            <w:tcW w:w="1415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123.206</w:t>
            </w:r>
          </w:p>
        </w:tc>
        <w:tc>
          <w:tcPr>
            <w:tcW w:w="991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183,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876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75,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</w:t>
            </w:r>
          </w:p>
        </w:tc>
      </w:tr>
      <w:tr w:rsidR="00791C37" w:rsidRPr="00791C37" w:rsidTr="000F5AC7">
        <w:tc>
          <w:tcPr>
            <w:tcW w:w="3239" w:type="dxa"/>
          </w:tcPr>
          <w:p w:rsidR="000C56F5" w:rsidRPr="00791C37" w:rsidRDefault="000C56F5" w:rsidP="006A7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Prihodi od donacije</w:t>
            </w:r>
          </w:p>
        </w:tc>
        <w:tc>
          <w:tcPr>
            <w:tcW w:w="1556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5.441</w:t>
            </w:r>
          </w:p>
        </w:tc>
        <w:tc>
          <w:tcPr>
            <w:tcW w:w="1273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1.593 </w:t>
            </w:r>
          </w:p>
        </w:tc>
        <w:tc>
          <w:tcPr>
            <w:tcW w:w="1415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500</w:t>
            </w:r>
          </w:p>
        </w:tc>
        <w:tc>
          <w:tcPr>
            <w:tcW w:w="991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9,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876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31,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</w:t>
            </w:r>
          </w:p>
        </w:tc>
      </w:tr>
      <w:tr w:rsidR="00791C37" w:rsidRPr="00791C37" w:rsidTr="000F5AC7">
        <w:tc>
          <w:tcPr>
            <w:tcW w:w="3239" w:type="dxa"/>
          </w:tcPr>
          <w:p w:rsidR="000C56F5" w:rsidRPr="00791C37" w:rsidRDefault="000C56F5" w:rsidP="006A7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Cs w:val="20"/>
              </w:rPr>
              <w:t>Prihodi od nadležnog proračuna</w:t>
            </w:r>
          </w:p>
        </w:tc>
        <w:tc>
          <w:tcPr>
            <w:tcW w:w="1556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600.413</w:t>
            </w:r>
          </w:p>
        </w:tc>
        <w:tc>
          <w:tcPr>
            <w:tcW w:w="1273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1.527.067 </w:t>
            </w:r>
          </w:p>
        </w:tc>
        <w:tc>
          <w:tcPr>
            <w:tcW w:w="1415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680.179</w:t>
            </w:r>
          </w:p>
        </w:tc>
        <w:tc>
          <w:tcPr>
            <w:tcW w:w="991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113,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3</w:t>
            </w:r>
          </w:p>
        </w:tc>
        <w:tc>
          <w:tcPr>
            <w:tcW w:w="876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44,</w:t>
            </w:r>
            <w:r w:rsidR="00830756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</w:t>
            </w:r>
          </w:p>
        </w:tc>
      </w:tr>
      <w:tr w:rsidR="00791C37" w:rsidRPr="00791C37" w:rsidTr="000F5AC7">
        <w:tc>
          <w:tcPr>
            <w:tcW w:w="3239" w:type="dxa"/>
          </w:tcPr>
          <w:p w:rsidR="000C56F5" w:rsidRPr="00791C37" w:rsidRDefault="000C56F5" w:rsidP="000C56F5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0"/>
              </w:rPr>
              <w:t>Ukupno prihodi za 2023.godinu</w:t>
            </w:r>
          </w:p>
        </w:tc>
        <w:tc>
          <w:tcPr>
            <w:tcW w:w="1556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787.118</w:t>
            </w:r>
          </w:p>
        </w:tc>
        <w:tc>
          <w:tcPr>
            <w:tcW w:w="1273" w:type="dxa"/>
            <w:vAlign w:val="center"/>
          </w:tcPr>
          <w:p w:rsidR="000C56F5" w:rsidRPr="00791C37" w:rsidRDefault="000C56F5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1.821.606</w:t>
            </w:r>
          </w:p>
        </w:tc>
        <w:tc>
          <w:tcPr>
            <w:tcW w:w="1415" w:type="dxa"/>
            <w:vAlign w:val="center"/>
          </w:tcPr>
          <w:p w:rsidR="000C56F5" w:rsidRPr="00791C37" w:rsidRDefault="00244FB2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870.965</w:t>
            </w:r>
          </w:p>
        </w:tc>
        <w:tc>
          <w:tcPr>
            <w:tcW w:w="991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110,</w:t>
            </w:r>
            <w:r w:rsidR="00830756"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6</w:t>
            </w:r>
          </w:p>
        </w:tc>
        <w:tc>
          <w:tcPr>
            <w:tcW w:w="876" w:type="dxa"/>
            <w:vAlign w:val="center"/>
          </w:tcPr>
          <w:p w:rsidR="000C56F5" w:rsidRPr="00791C37" w:rsidRDefault="00244FB2" w:rsidP="000F5AC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47,</w:t>
            </w:r>
            <w:r w:rsidR="00830756"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8</w:t>
            </w:r>
          </w:p>
        </w:tc>
      </w:tr>
      <w:tr w:rsidR="00791C37" w:rsidRPr="00791C37" w:rsidTr="000F5AC7">
        <w:tc>
          <w:tcPr>
            <w:tcW w:w="3239" w:type="dxa"/>
          </w:tcPr>
          <w:p w:rsidR="006A77F5" w:rsidRPr="00791C37" w:rsidRDefault="006A77F5" w:rsidP="000C56F5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6A77F5" w:rsidRPr="00791C37" w:rsidRDefault="006A77F5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6A77F5" w:rsidRPr="00791C37" w:rsidRDefault="006A77F5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6A77F5" w:rsidRPr="00791C37" w:rsidRDefault="006A77F5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A77F5" w:rsidRPr="00791C37" w:rsidRDefault="006A77F5" w:rsidP="000F5AC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6A77F5" w:rsidRPr="00791C37" w:rsidRDefault="006A77F5" w:rsidP="000F5AC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</w:p>
        </w:tc>
      </w:tr>
    </w:tbl>
    <w:p w:rsidR="004848AA" w:rsidRPr="00791C37" w:rsidRDefault="004848AA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830756" w:rsidRPr="00791C37" w:rsidRDefault="00EB49BD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</w:t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Prihodi p</w:t>
      </w:r>
      <w:r w:rsidR="004848A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omoći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848A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iz inozemstva, međunarodnih organizacija, tekuće pomoći, darovnice ostvareni su u iznos</w:t>
      </w:r>
      <w:r w:rsidR="000C56F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67.080 eura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44FB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ili </w:t>
      </w:r>
      <w:r w:rsidR="000C56F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244FB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1,7</w:t>
      </w:r>
      <w:r w:rsidR="000C56F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% plana</w:t>
      </w:r>
      <w:r w:rsidR="00830756" w:rsidRPr="00791C37">
        <w:rPr>
          <w:rStyle w:val="FootnoteReference"/>
          <w:rFonts w:ascii="Times New Roman" w:hAnsi="Times New Roman" w:cs="Times New Roman"/>
          <w:color w:val="262626" w:themeColor="text1" w:themeTint="D9"/>
          <w:sz w:val="24"/>
          <w:szCs w:val="24"/>
        </w:rPr>
        <w:footnoteReference w:id="1"/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30756" w:rsidRPr="00791C37" w:rsidRDefault="00830756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44FB2" w:rsidRPr="00791C37" w:rsidRDefault="00E76824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odnosu na isto razdoblje prethodne godine ostvareni su 58,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9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%.</w:t>
      </w:r>
    </w:p>
    <w:p w:rsidR="0082731A" w:rsidRPr="00791C37" w:rsidRDefault="0082731A" w:rsidP="0082731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64AC3" w:rsidRPr="00791C37" w:rsidRDefault="00EB49BD" w:rsidP="0082731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</w:t>
      </w:r>
      <w:r w:rsidR="00E7682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Prihodi od prodaje proizvoda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 w:rsidR="00E7682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pruženih usluga odnose se na prodaju i pretplatu knjiga i časopisa, te na ugovorene usluge izrade konzervatorskih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studija i elaborata</w:t>
      </w:r>
      <w:r w:rsidR="00E7682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ostvareni su u iznosu 123.206 eura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ili </w:t>
      </w:r>
      <w:r w:rsidR="00E7682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75,</w:t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</w:t>
      </w:r>
      <w:r w:rsidR="00E7682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% plana</w:t>
      </w:r>
      <w:r w:rsidR="00830756" w:rsidRPr="00791C37">
        <w:rPr>
          <w:rStyle w:val="FootnoteReference"/>
          <w:rFonts w:ascii="Times New Roman" w:hAnsi="Times New Roman" w:cs="Times New Roman"/>
          <w:color w:val="262626" w:themeColor="text1" w:themeTint="D9"/>
          <w:sz w:val="24"/>
          <w:szCs w:val="24"/>
        </w:rPr>
        <w:footnoteReference w:id="2"/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2731A" w:rsidRPr="00791C37" w:rsidRDefault="0082731A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6A61" w:rsidRPr="00791C37" w:rsidRDefault="00D64AC3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odnosu na isto razdoblje prethodne godine ostvareni su 183,20 %.</w:t>
      </w:r>
    </w:p>
    <w:p w:rsidR="0082731A" w:rsidRPr="00791C37" w:rsidRDefault="0082731A" w:rsidP="0082731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16F12" w:rsidRPr="00791C37" w:rsidRDefault="00EB49BD" w:rsidP="0082731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</w:t>
      </w:r>
      <w:r w:rsidR="00D64AC3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Prihodi od donacija ostvareni su u iznosu 500 eura, </w:t>
      </w:r>
      <w:r w:rsidR="00E21C6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riječ je o donaciji opreme (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 </w:t>
      </w:r>
      <w:r w:rsidR="00E21C6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računala) procijenjene vrijednosti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nije u fin. planu za 2023.</w:t>
      </w:r>
    </w:p>
    <w:p w:rsidR="0082731A" w:rsidRPr="00791C37" w:rsidRDefault="0082731A" w:rsidP="0082731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16F12" w:rsidRPr="00791C37" w:rsidRDefault="00EB49BD" w:rsidP="00827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4.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Prihodi iz nadležnog proračuna 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ostvaren</w:t>
      </w:r>
      <w:r w:rsidR="00830756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su u iznosu 680.179 eura (44,5% plana) sastoje se od: </w:t>
      </w:r>
      <w:r w:rsidR="00916F12" w:rsidRPr="00791C3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  <w:t xml:space="preserve">592.685 eura 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7B650E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45,24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% plana)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prihod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 zaposlene</w:t>
      </w:r>
      <w:r w:rsidR="007B650E" w:rsidRPr="00791C37">
        <w:rPr>
          <w:rStyle w:val="FootnoteReference"/>
          <w:rFonts w:ascii="Times New Roman" w:hAnsi="Times New Roman" w:cs="Times New Roman"/>
          <w:color w:val="262626" w:themeColor="text1" w:themeTint="D9"/>
          <w:sz w:val="24"/>
          <w:szCs w:val="24"/>
        </w:rPr>
        <w:footnoteReference w:id="3"/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plać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 iz državne riznice;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19.330 eura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ili </w:t>
      </w:r>
      <w:r w:rsidR="007B650E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112,52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%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materijaln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rashod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za zaposlene - nagrade,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naknada prijevoza za zaposlenike na posao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naknade poslodavca zbog nezapošljavanja osoba s invaliditetom;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 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68.163 eura (34,19% plana)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programsko financiranje Instituta</w:t>
      </w:r>
      <w:r w:rsidR="00311C9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(uplata I. od ukupno III. rate)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A3307A" w:rsidRPr="00791C37" w:rsidRDefault="00A3307A" w:rsidP="00E96A61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6A61" w:rsidRPr="00791C37" w:rsidRDefault="00D638BB" w:rsidP="00E96A61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lanirana su sredstva 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(prihodi iz proračuna) </w:t>
      </w:r>
      <w:r w:rsidR="00E96A6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 pravomoćnim sudskim presudama</w:t>
      </w:r>
      <w:r w:rsidR="00916F1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koja nisu realizirana u prvom polugodištu 2023.</w:t>
      </w:r>
    </w:p>
    <w:p w:rsidR="00916F12" w:rsidRPr="00791C37" w:rsidRDefault="00916F12" w:rsidP="00E96A61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odnosu na isto razdoblje prethodne godine </w:t>
      </w:r>
      <w:r w:rsidR="00311C91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ukupno prihodi</w:t>
      </w:r>
      <w:r w:rsidR="00311C9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ostvareni su </w:t>
      </w:r>
      <w:r w:rsidR="007B650E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113,29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%.</w:t>
      </w:r>
    </w:p>
    <w:p w:rsidR="00A3307A" w:rsidRPr="00791C37" w:rsidRDefault="00A3307A" w:rsidP="00E96A61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91C37" w:rsidRPr="00791C37" w:rsidRDefault="00DA0A2D" w:rsidP="00B3225B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Ukupni prihodi prema izvorima financiranja 2023.godina</w:t>
      </w:r>
      <w:r w:rsidR="00311C91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– </w:t>
      </w:r>
      <w:r w:rsidR="006508C0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izvršenje prvo polugodište I-VI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2091"/>
        <w:gridCol w:w="1410"/>
        <w:gridCol w:w="1415"/>
        <w:gridCol w:w="1410"/>
        <w:gridCol w:w="876"/>
        <w:gridCol w:w="876"/>
      </w:tblGrid>
      <w:tr w:rsidR="00791C37" w:rsidRPr="00791C37" w:rsidTr="00D320A0">
        <w:tc>
          <w:tcPr>
            <w:tcW w:w="1272" w:type="dxa"/>
          </w:tcPr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Izvori financiranja</w:t>
            </w:r>
          </w:p>
        </w:tc>
        <w:tc>
          <w:tcPr>
            <w:tcW w:w="2125" w:type="dxa"/>
          </w:tcPr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4"/>
              </w:rPr>
              <w:t>Vrsta prihoda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1.-6.2022.</w:t>
            </w:r>
          </w:p>
        </w:tc>
        <w:tc>
          <w:tcPr>
            <w:tcW w:w="1418" w:type="dxa"/>
            <w:vAlign w:val="center"/>
          </w:tcPr>
          <w:p w:rsidR="00311C91" w:rsidRPr="00791C37" w:rsidRDefault="00CF6E57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FINANCIJSKI PLAN 2023.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1.-6.2023.</w:t>
            </w:r>
          </w:p>
        </w:tc>
        <w:tc>
          <w:tcPr>
            <w:tcW w:w="708" w:type="dxa"/>
            <w:vAlign w:val="center"/>
          </w:tcPr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  <w:tc>
          <w:tcPr>
            <w:tcW w:w="708" w:type="dxa"/>
            <w:vAlign w:val="center"/>
          </w:tcPr>
          <w:p w:rsidR="00311C91" w:rsidRPr="00791C37" w:rsidRDefault="00311C91" w:rsidP="00311C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</w:tr>
      <w:tr w:rsidR="00791C37" w:rsidRPr="00791C37" w:rsidTr="000F5AC7">
        <w:tc>
          <w:tcPr>
            <w:tcW w:w="1272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  <w:tc>
          <w:tcPr>
            <w:tcW w:w="2125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Opći prihodi i primici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600.413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1.527.067 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680.179</w:t>
            </w:r>
          </w:p>
        </w:tc>
        <w:tc>
          <w:tcPr>
            <w:tcW w:w="708" w:type="dxa"/>
            <w:vAlign w:val="center"/>
          </w:tcPr>
          <w:p w:rsidR="00311C91" w:rsidRPr="00791C37" w:rsidRDefault="001A281A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113,</w:t>
            </w:r>
            <w:r w:rsidR="00A3307A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44,5</w:t>
            </w:r>
          </w:p>
        </w:tc>
      </w:tr>
      <w:tr w:rsidR="00791C37" w:rsidRPr="00791C37" w:rsidTr="000F5AC7">
        <w:tc>
          <w:tcPr>
            <w:tcW w:w="1272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2125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Vlastiti prihodi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67.270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163.249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130.961</w:t>
            </w:r>
          </w:p>
        </w:tc>
        <w:tc>
          <w:tcPr>
            <w:tcW w:w="708" w:type="dxa"/>
            <w:vAlign w:val="center"/>
          </w:tcPr>
          <w:p w:rsidR="00311C91" w:rsidRPr="00791C37" w:rsidRDefault="001A281A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194,</w:t>
            </w:r>
            <w:r w:rsidR="00A3307A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80,2</w:t>
            </w:r>
          </w:p>
        </w:tc>
      </w:tr>
      <w:tr w:rsidR="00791C37" w:rsidRPr="00791C37" w:rsidTr="000F5AC7">
        <w:tc>
          <w:tcPr>
            <w:tcW w:w="1272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52</w:t>
            </w:r>
          </w:p>
        </w:tc>
        <w:tc>
          <w:tcPr>
            <w:tcW w:w="2125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Ostale pomoći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113.994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129.697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59.325</w:t>
            </w:r>
          </w:p>
        </w:tc>
        <w:tc>
          <w:tcPr>
            <w:tcW w:w="708" w:type="dxa"/>
            <w:vAlign w:val="center"/>
          </w:tcPr>
          <w:p w:rsidR="00311C91" w:rsidRPr="00791C37" w:rsidRDefault="001A281A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52,0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45,7</w:t>
            </w:r>
          </w:p>
        </w:tc>
      </w:tr>
      <w:tr w:rsidR="00791C37" w:rsidRPr="00791C37" w:rsidTr="000F5AC7">
        <w:tc>
          <w:tcPr>
            <w:tcW w:w="1272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61</w:t>
            </w:r>
          </w:p>
        </w:tc>
        <w:tc>
          <w:tcPr>
            <w:tcW w:w="2125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Donacije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5.441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1.593 </w:t>
            </w:r>
          </w:p>
        </w:tc>
        <w:tc>
          <w:tcPr>
            <w:tcW w:w="1418" w:type="dxa"/>
            <w:vAlign w:val="center"/>
          </w:tcPr>
          <w:p w:rsidR="00311C91" w:rsidRPr="00791C37" w:rsidRDefault="001A281A" w:rsidP="000F5AC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500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9,</w:t>
            </w:r>
            <w:r w:rsidR="00A3307A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31,</w:t>
            </w:r>
            <w:r w:rsidR="00A3307A"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</w:t>
            </w:r>
          </w:p>
        </w:tc>
      </w:tr>
      <w:tr w:rsidR="00311C91" w:rsidRPr="00791C37" w:rsidTr="000F5AC7">
        <w:tc>
          <w:tcPr>
            <w:tcW w:w="3397" w:type="dxa"/>
            <w:gridSpan w:val="2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Ukupno prihodi po izvorima financiranja 2023.godina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787.118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1.821.606</w:t>
            </w:r>
          </w:p>
        </w:tc>
        <w:tc>
          <w:tcPr>
            <w:tcW w:w="1418" w:type="dxa"/>
            <w:vAlign w:val="center"/>
          </w:tcPr>
          <w:p w:rsidR="00311C91" w:rsidRPr="00791C37" w:rsidRDefault="00311C91" w:rsidP="000F5AC7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870.965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110,</w:t>
            </w:r>
            <w:r w:rsidR="00A3307A"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311C91" w:rsidRPr="00791C37" w:rsidRDefault="000F5AC7" w:rsidP="000F5AC7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47,8</w:t>
            </w:r>
          </w:p>
        </w:tc>
      </w:tr>
      <w:tr w:rsidR="00791C37" w:rsidRPr="00791C37" w:rsidTr="00D320A0">
        <w:tc>
          <w:tcPr>
            <w:tcW w:w="1272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2125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1418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1418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1418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708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  <w:tc>
          <w:tcPr>
            <w:tcW w:w="708" w:type="dxa"/>
          </w:tcPr>
          <w:p w:rsidR="00311C91" w:rsidRPr="00791C37" w:rsidRDefault="00311C91" w:rsidP="00311C9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4"/>
              </w:rPr>
            </w:pPr>
          </w:p>
        </w:tc>
      </w:tr>
    </w:tbl>
    <w:p w:rsidR="00355BF1" w:rsidRPr="00791C37" w:rsidRDefault="00355BF1" w:rsidP="00DA0A2D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3307A" w:rsidRPr="00791C37" w:rsidRDefault="000F5AC7" w:rsidP="000F5A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Prema izvorima financiranja</w:t>
      </w:r>
      <w:r w:rsidR="00A3307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značajnija odstupanja u izvršenju su 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31 </w:t>
      </w:r>
      <w:r w:rsidR="00A3307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Vlastiti prihodi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koji su </w:t>
      </w:r>
      <w:r w:rsidR="00A3307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80,2% plana, 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obrazloženje je </w:t>
      </w:r>
      <w:r w:rsidR="00A3307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uplata Fonda solidarnosti EU za pokriće troškova potresa 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koja je </w:t>
      </w:r>
      <w:r w:rsidR="00A3307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knjižena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na </w:t>
      </w:r>
      <w:r w:rsidR="00A3307A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izvoru 31 Vlastiti prihodi.</w:t>
      </w:r>
    </w:p>
    <w:p w:rsidR="000F5AC7" w:rsidRPr="00791C37" w:rsidRDefault="00A3307A" w:rsidP="000F5AC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izvještajnom razdoblju </w:t>
      </w:r>
      <w:r w:rsidR="000F5AC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vrijednosno najznačajniji udjel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u ukupnim prihodima</w:t>
      </w:r>
      <w:r w:rsidR="000F5AC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od 78,1% </w:t>
      </w:r>
      <w:r w:rsidR="000F5AC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imaju</w:t>
      </w:r>
      <w:r w:rsidR="004F72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B49BD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(11) </w:t>
      </w:r>
      <w:r w:rsidR="004F72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Opći </w:t>
      </w:r>
      <w:r w:rsidR="000F5AC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prihodi iz proračuna za financiranje plaća i materijalnih rashoda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F5AC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ostvareni</w:t>
      </w:r>
      <w:r w:rsidR="00D4190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iznosu</w:t>
      </w:r>
      <w:r w:rsidR="000F5AC7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680.197 eura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D4190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Drugi po udjelu su </w:t>
      </w:r>
      <w:r w:rsidR="00EB49BD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(31) </w:t>
      </w:r>
      <w:r w:rsidR="004F72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</w:t>
      </w:r>
      <w:r w:rsidR="00D4190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lastiti prihodi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od 15% udjela u ukupnim prihodima </w:t>
      </w:r>
      <w:r w:rsidR="00D4190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ostvareni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iznosu</w:t>
      </w:r>
      <w:r w:rsidR="00D4190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130.961</w:t>
      </w:r>
      <w:r w:rsidR="007B70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eura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Na </w:t>
      </w:r>
      <w:r w:rsidR="006508C0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trećem </w:t>
      </w:r>
      <w:r w:rsidR="004F72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mjestu su </w:t>
      </w:r>
      <w:r w:rsidR="00EB49BD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(52) </w:t>
      </w:r>
      <w:r w:rsidR="004F72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Ostale pomoći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koje sudjeluju sa 6,9% udjela u ukupnim prihodima, </w:t>
      </w:r>
      <w:r w:rsidR="00ED6C6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izvršenje</w:t>
      </w:r>
      <w:r w:rsid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iznosu</w:t>
      </w:r>
      <w:r w:rsidR="004F7235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59.325 eura.</w:t>
      </w:r>
      <w:r w:rsidRPr="00791C37">
        <w:rPr>
          <w:rStyle w:val="FootnoteReference"/>
          <w:rFonts w:ascii="Times New Roman" w:hAnsi="Times New Roman" w:cs="Times New Roman"/>
          <w:color w:val="262626" w:themeColor="text1" w:themeTint="D9"/>
          <w:sz w:val="24"/>
          <w:szCs w:val="24"/>
        </w:rPr>
        <w:footnoteReference w:id="4"/>
      </w:r>
    </w:p>
    <w:p w:rsidR="00ED6C64" w:rsidRPr="00791C37" w:rsidRDefault="00ED6C64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highlight w:val="yellow"/>
        </w:rPr>
      </w:pPr>
    </w:p>
    <w:p w:rsidR="00557EDD" w:rsidRPr="00791C37" w:rsidRDefault="00557EDD" w:rsidP="00557EDD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RASHODI I IZDACI</w:t>
      </w:r>
    </w:p>
    <w:p w:rsidR="00524981" w:rsidRPr="00791C37" w:rsidRDefault="00524981" w:rsidP="00B3225B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D6C64" w:rsidRPr="00791C37" w:rsidRDefault="00ED6C64" w:rsidP="00ED6C6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Rashodi poslovanja za 2023. godinu planirani su u iznosu od 1.788.411 EUR. U izvještajnom razdoblju (prvo polugodište) ostvareni su u iznosu od 825.877 EUR ili 46,18%. </w:t>
      </w:r>
    </w:p>
    <w:p w:rsidR="00ED6C64" w:rsidRPr="00791C37" w:rsidRDefault="00ED6C64" w:rsidP="00ED6C6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Rashodi za nabavu nefinancijske imovine za 2023. godinu planirani su u iznosu od 33.195 EUR. U izvještajnom razdoblju (prvo polugodište) ostvareni su u iznosu od 13.536 EUR ili 40,78%. </w:t>
      </w:r>
    </w:p>
    <w:p w:rsidR="008B0896" w:rsidRPr="00791C37" w:rsidRDefault="00ED6C64" w:rsidP="00FD6FF2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Ukupni r</w:t>
      </w:r>
      <w:r w:rsidR="00FD6FF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ashodi za 2023. godinu planirani su u iznosu od </w:t>
      </w:r>
      <w:r w:rsidR="00EB57E3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1.821.606</w:t>
      </w:r>
      <w:r w:rsidR="007A0679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D6FF2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EUR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 ostvareni u iznosu 839.413 EUR (46,08%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planiranog).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Nema znatnijih odstupanja u odnosu na financijski plan.</w:t>
      </w:r>
    </w:p>
    <w:p w:rsidR="008C0673" w:rsidRPr="00791C37" w:rsidRDefault="008C0673" w:rsidP="00FD6FF2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B49BD" w:rsidRPr="00791C37" w:rsidRDefault="00AF111C" w:rsidP="00EB49BD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Ukupno rashodi za 2023.godinu</w:t>
      </w:r>
      <w:r w:rsidR="00EB49BD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– izvršenje prvo polugodište I-VI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1544"/>
        <w:gridCol w:w="1307"/>
        <w:gridCol w:w="1407"/>
        <w:gridCol w:w="989"/>
        <w:gridCol w:w="912"/>
      </w:tblGrid>
      <w:tr w:rsidR="00EB49BD" w:rsidRPr="00791C37" w:rsidTr="00EB49BD">
        <w:tc>
          <w:tcPr>
            <w:tcW w:w="3191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VRSTA RASHODA</w:t>
            </w:r>
          </w:p>
        </w:tc>
        <w:tc>
          <w:tcPr>
            <w:tcW w:w="1544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1.-6.2022.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FINANCIJSKI PLAN 2023.</w:t>
            </w:r>
          </w:p>
        </w:tc>
        <w:tc>
          <w:tcPr>
            <w:tcW w:w="1407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1.-6.2023.</w:t>
            </w:r>
          </w:p>
        </w:tc>
        <w:tc>
          <w:tcPr>
            <w:tcW w:w="989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  <w:tc>
          <w:tcPr>
            <w:tcW w:w="912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</w:tr>
      <w:tr w:rsidR="00EB49BD" w:rsidRPr="00791C37" w:rsidTr="00EB49BD">
        <w:tc>
          <w:tcPr>
            <w:tcW w:w="3191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1</w:t>
            </w:r>
          </w:p>
        </w:tc>
        <w:tc>
          <w:tcPr>
            <w:tcW w:w="1544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2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3</w:t>
            </w:r>
          </w:p>
        </w:tc>
        <w:tc>
          <w:tcPr>
            <w:tcW w:w="1407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4</w:t>
            </w:r>
          </w:p>
        </w:tc>
        <w:tc>
          <w:tcPr>
            <w:tcW w:w="989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5=4/2*100</w:t>
            </w:r>
          </w:p>
        </w:tc>
        <w:tc>
          <w:tcPr>
            <w:tcW w:w="912" w:type="dxa"/>
            <w:vAlign w:val="center"/>
          </w:tcPr>
          <w:p w:rsidR="00EB49BD" w:rsidRPr="00791C37" w:rsidRDefault="00EB49BD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  <w:t>6=4/3*100</w:t>
            </w:r>
          </w:p>
        </w:tc>
      </w:tr>
      <w:tr w:rsidR="00EB49BD" w:rsidRPr="00791C37" w:rsidTr="006A77F5">
        <w:tc>
          <w:tcPr>
            <w:tcW w:w="3191" w:type="dxa"/>
          </w:tcPr>
          <w:p w:rsidR="00EB49BD" w:rsidRPr="00791C37" w:rsidRDefault="00910A52" w:rsidP="00EB49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31 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>Rashodi za zaposlene</w:t>
            </w:r>
          </w:p>
        </w:tc>
        <w:tc>
          <w:tcPr>
            <w:tcW w:w="1544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584.265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1.434.420</w:t>
            </w:r>
          </w:p>
        </w:tc>
        <w:tc>
          <w:tcPr>
            <w:tcW w:w="1407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664.806</w:t>
            </w:r>
          </w:p>
        </w:tc>
        <w:tc>
          <w:tcPr>
            <w:tcW w:w="989" w:type="dxa"/>
            <w:vAlign w:val="center"/>
          </w:tcPr>
          <w:p w:rsidR="00EB49BD" w:rsidRPr="00791C37" w:rsidRDefault="00744914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113,79</w:t>
            </w:r>
          </w:p>
        </w:tc>
        <w:tc>
          <w:tcPr>
            <w:tcW w:w="912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46,35</w:t>
            </w:r>
          </w:p>
        </w:tc>
      </w:tr>
      <w:tr w:rsidR="00EB49BD" w:rsidRPr="00791C37" w:rsidTr="006A77F5">
        <w:tc>
          <w:tcPr>
            <w:tcW w:w="3191" w:type="dxa"/>
          </w:tcPr>
          <w:p w:rsidR="00EB49BD" w:rsidRPr="00791C37" w:rsidRDefault="00910A52" w:rsidP="00EB49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32 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>Materijalni rashodi</w:t>
            </w:r>
          </w:p>
        </w:tc>
        <w:tc>
          <w:tcPr>
            <w:tcW w:w="1544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198.887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347.968</w:t>
            </w:r>
          </w:p>
        </w:tc>
        <w:tc>
          <w:tcPr>
            <w:tcW w:w="1407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160.445</w:t>
            </w:r>
          </w:p>
        </w:tc>
        <w:tc>
          <w:tcPr>
            <w:tcW w:w="989" w:type="dxa"/>
            <w:vAlign w:val="center"/>
          </w:tcPr>
          <w:p w:rsidR="00EB49BD" w:rsidRPr="00791C37" w:rsidRDefault="00744914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80,67</w:t>
            </w:r>
          </w:p>
        </w:tc>
        <w:tc>
          <w:tcPr>
            <w:tcW w:w="912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46,11</w:t>
            </w:r>
          </w:p>
        </w:tc>
      </w:tr>
      <w:tr w:rsidR="00EB49BD" w:rsidRPr="00791C37" w:rsidTr="006A77F5">
        <w:tc>
          <w:tcPr>
            <w:tcW w:w="3191" w:type="dxa"/>
          </w:tcPr>
          <w:p w:rsidR="00EB49BD" w:rsidRPr="00791C37" w:rsidRDefault="00910A52" w:rsidP="00EB49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34 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>Financijski rashodi</w:t>
            </w:r>
          </w:p>
        </w:tc>
        <w:tc>
          <w:tcPr>
            <w:tcW w:w="1544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1.051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1.344</w:t>
            </w:r>
          </w:p>
        </w:tc>
        <w:tc>
          <w:tcPr>
            <w:tcW w:w="1407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626</w:t>
            </w:r>
          </w:p>
        </w:tc>
        <w:tc>
          <w:tcPr>
            <w:tcW w:w="989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59,56</w:t>
            </w:r>
          </w:p>
        </w:tc>
        <w:tc>
          <w:tcPr>
            <w:tcW w:w="912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46,58</w:t>
            </w:r>
          </w:p>
        </w:tc>
      </w:tr>
      <w:tr w:rsidR="00EB49BD" w:rsidRPr="00791C37" w:rsidTr="006A77F5">
        <w:tc>
          <w:tcPr>
            <w:tcW w:w="3191" w:type="dxa"/>
          </w:tcPr>
          <w:p w:rsidR="00EB49BD" w:rsidRPr="00791C37" w:rsidRDefault="00910A52" w:rsidP="00EB49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37 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>Naknade građanima i kućanstvima</w:t>
            </w:r>
          </w:p>
        </w:tc>
        <w:tc>
          <w:tcPr>
            <w:tcW w:w="1544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995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4.679</w:t>
            </w:r>
          </w:p>
        </w:tc>
        <w:tc>
          <w:tcPr>
            <w:tcW w:w="1407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89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0</w:t>
            </w:r>
          </w:p>
        </w:tc>
        <w:tc>
          <w:tcPr>
            <w:tcW w:w="912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B49BD" w:rsidRPr="00791C37" w:rsidTr="006A77F5">
        <w:tc>
          <w:tcPr>
            <w:tcW w:w="3191" w:type="dxa"/>
          </w:tcPr>
          <w:p w:rsidR="00EB49BD" w:rsidRPr="00791C37" w:rsidRDefault="00910A52" w:rsidP="00EB49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41 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>Rashodi za nabavu neproiz</w:t>
            </w:r>
            <w:r w:rsidR="00791C37"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 dugotrajne imovine</w:t>
            </w:r>
          </w:p>
        </w:tc>
        <w:tc>
          <w:tcPr>
            <w:tcW w:w="1544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7.136</w:t>
            </w:r>
          </w:p>
        </w:tc>
        <w:tc>
          <w:tcPr>
            <w:tcW w:w="1407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0</w:t>
            </w:r>
          </w:p>
        </w:tc>
        <w:tc>
          <w:tcPr>
            <w:tcW w:w="989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0</w:t>
            </w:r>
          </w:p>
        </w:tc>
        <w:tc>
          <w:tcPr>
            <w:tcW w:w="912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0</w:t>
            </w:r>
          </w:p>
        </w:tc>
      </w:tr>
      <w:tr w:rsidR="00EB49BD" w:rsidRPr="00791C37" w:rsidTr="006A77F5">
        <w:tc>
          <w:tcPr>
            <w:tcW w:w="3191" w:type="dxa"/>
          </w:tcPr>
          <w:p w:rsidR="00EB49BD" w:rsidRPr="00791C37" w:rsidRDefault="00910A52" w:rsidP="00EB49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42 </w:t>
            </w:r>
            <w:r w:rsidR="00EB49BD" w:rsidRPr="00791C37">
              <w:rPr>
                <w:rFonts w:ascii="Times New Roman" w:hAnsi="Times New Roman" w:cs="Times New Roman"/>
                <w:color w:val="262626" w:themeColor="text1" w:themeTint="D9"/>
              </w:rPr>
              <w:t>Rashodi za nabavu proizvedene dugotrajne imovine</w:t>
            </w:r>
          </w:p>
        </w:tc>
        <w:tc>
          <w:tcPr>
            <w:tcW w:w="1544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10.032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26.059</w:t>
            </w:r>
          </w:p>
        </w:tc>
        <w:tc>
          <w:tcPr>
            <w:tcW w:w="1407" w:type="dxa"/>
            <w:vAlign w:val="center"/>
          </w:tcPr>
          <w:p w:rsidR="00EB49BD" w:rsidRPr="00791C37" w:rsidRDefault="00910A52" w:rsidP="00744914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13.536</w:t>
            </w:r>
          </w:p>
        </w:tc>
        <w:tc>
          <w:tcPr>
            <w:tcW w:w="989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134,93</w:t>
            </w:r>
          </w:p>
        </w:tc>
        <w:tc>
          <w:tcPr>
            <w:tcW w:w="912" w:type="dxa"/>
            <w:vAlign w:val="center"/>
          </w:tcPr>
          <w:p w:rsidR="00EB49BD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51,94</w:t>
            </w:r>
          </w:p>
        </w:tc>
      </w:tr>
      <w:tr w:rsidR="00EB49BD" w:rsidRPr="00791C37" w:rsidTr="006A77F5">
        <w:tc>
          <w:tcPr>
            <w:tcW w:w="3191" w:type="dxa"/>
            <w:vAlign w:val="center"/>
          </w:tcPr>
          <w:p w:rsidR="00EB49BD" w:rsidRPr="00791C37" w:rsidRDefault="00EB49BD" w:rsidP="00EB49BD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Ukupno rashodi za 2023.godinu</w:t>
            </w:r>
          </w:p>
        </w:tc>
        <w:tc>
          <w:tcPr>
            <w:tcW w:w="1544" w:type="dxa"/>
            <w:vAlign w:val="center"/>
          </w:tcPr>
          <w:p w:rsidR="00EB49BD" w:rsidRPr="00791C37" w:rsidRDefault="00744914" w:rsidP="0074491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795.230</w:t>
            </w:r>
          </w:p>
        </w:tc>
        <w:tc>
          <w:tcPr>
            <w:tcW w:w="1307" w:type="dxa"/>
            <w:vAlign w:val="center"/>
          </w:tcPr>
          <w:p w:rsidR="00EB49BD" w:rsidRPr="00791C37" w:rsidRDefault="00EB49BD" w:rsidP="0074491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1.821.606</w:t>
            </w:r>
          </w:p>
        </w:tc>
        <w:tc>
          <w:tcPr>
            <w:tcW w:w="1407" w:type="dxa"/>
            <w:vAlign w:val="center"/>
          </w:tcPr>
          <w:p w:rsidR="00EB49BD" w:rsidRPr="00791C37" w:rsidRDefault="00744914" w:rsidP="00744914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839.413</w:t>
            </w:r>
          </w:p>
        </w:tc>
        <w:tc>
          <w:tcPr>
            <w:tcW w:w="989" w:type="dxa"/>
            <w:vAlign w:val="center"/>
          </w:tcPr>
          <w:p w:rsidR="00EB49BD" w:rsidRPr="00791C37" w:rsidRDefault="00744914" w:rsidP="006A77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105,56</w:t>
            </w:r>
          </w:p>
        </w:tc>
        <w:tc>
          <w:tcPr>
            <w:tcW w:w="912" w:type="dxa"/>
            <w:vAlign w:val="center"/>
          </w:tcPr>
          <w:p w:rsidR="00EB49BD" w:rsidRPr="00791C37" w:rsidRDefault="00744914" w:rsidP="006A77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46,08</w:t>
            </w:r>
          </w:p>
        </w:tc>
      </w:tr>
    </w:tbl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1. Rashodi za zaposlene (bruto plaće, materijalni rashodi zaposlenika, naknade, doprinosi) ostvareni su u iznosu 664.806 </w:t>
      </w:r>
      <w:r w:rsidR="007B70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eura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ili 46,35%. 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odnosu na izvještajno razdoblje protekle godine su veći 13,8%.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 Materijalni rashodi (svi rashodi redovnog poslovanja, uredski materijal, službena putovanja, stručno usavršavanje zaposlenika, režije, najam poslovnog prostora, računalne usluge, autorske naknade, ugovori o djelu, tisak, dizajn, arhivi, premije osiguranja, članarine i dr.) ostvareni su u iznosu 160.445 </w:t>
      </w:r>
      <w:r w:rsidR="007B70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eura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ili 46,11%.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3. Financijski rashodi se odnose na usluge banaka i FINA-e ostvareni su 626 </w:t>
      </w:r>
      <w:r w:rsidR="007B70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eura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ili 46,58%.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 Naknade građanima se odnose na troškove poslijediplomskih studija doktoranada, u izvještajnim razdoblju nije bilo te vrste troškova.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 Rashodi za nabavu neproiz. dugotrajne imovine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(software i licence) u izvještajnim razdoblju 2023. nije bilo te vrste troškova.</w:t>
      </w:r>
    </w:p>
    <w:p w:rsidR="00262C05" w:rsidRPr="00791C37" w:rsidRDefault="00262C05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 Rashodi za nabavu proiz. dugotrajne imovine (uredska i znanstvena oprema i knjige) ostvareni su u iznosu 13.536 </w:t>
      </w:r>
      <w:r w:rsidR="007B70A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eura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ili 51,94%.</w:t>
      </w:r>
    </w:p>
    <w:p w:rsidR="00B04428" w:rsidRPr="00791C37" w:rsidRDefault="00B04428" w:rsidP="00B04428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U odnosu na isto razdoblje prethodne 2022. godine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ukupno rashodi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u 2023. godini ostvareni su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105,56 %.</w:t>
      </w:r>
    </w:p>
    <w:p w:rsidR="00262C05" w:rsidRPr="00791C37" w:rsidRDefault="00262C05" w:rsidP="00782A1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82A15" w:rsidRPr="00791C37" w:rsidRDefault="00782A15" w:rsidP="00782A15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Ukupni rashodi prema izvorima financiranja 2023.godina</w:t>
      </w:r>
      <w:r w:rsidR="006A77F5"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– izvršenje prvo polugodište I-VI</w:t>
      </w:r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1276"/>
        <w:gridCol w:w="1417"/>
        <w:gridCol w:w="993"/>
        <w:gridCol w:w="993"/>
      </w:tblGrid>
      <w:tr w:rsidR="00791C37" w:rsidRPr="00791C37" w:rsidTr="00B04428">
        <w:tc>
          <w:tcPr>
            <w:tcW w:w="846" w:type="dxa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24"/>
              </w:rPr>
              <w:t>Izvori financiranja</w:t>
            </w:r>
          </w:p>
        </w:tc>
        <w:tc>
          <w:tcPr>
            <w:tcW w:w="2410" w:type="dxa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Cs w:val="24"/>
              </w:rPr>
              <w:t>Vrsta rashoda</w:t>
            </w:r>
          </w:p>
        </w:tc>
        <w:tc>
          <w:tcPr>
            <w:tcW w:w="1417" w:type="dxa"/>
            <w:vAlign w:val="center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1.-6.2022.</w:t>
            </w:r>
          </w:p>
        </w:tc>
        <w:tc>
          <w:tcPr>
            <w:tcW w:w="1276" w:type="dxa"/>
            <w:vAlign w:val="center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FINANCIJSKI PLAN 2023.</w:t>
            </w:r>
          </w:p>
        </w:tc>
        <w:tc>
          <w:tcPr>
            <w:tcW w:w="1417" w:type="dxa"/>
            <w:vAlign w:val="center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1.-6.2023.</w:t>
            </w:r>
          </w:p>
        </w:tc>
        <w:tc>
          <w:tcPr>
            <w:tcW w:w="993" w:type="dxa"/>
            <w:vAlign w:val="center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  <w:tc>
          <w:tcPr>
            <w:tcW w:w="993" w:type="dxa"/>
            <w:vAlign w:val="center"/>
          </w:tcPr>
          <w:p w:rsidR="006A77F5" w:rsidRPr="00791C37" w:rsidRDefault="006A77F5" w:rsidP="006A77F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INDEKS</w:t>
            </w:r>
          </w:p>
        </w:tc>
      </w:tr>
      <w:tr w:rsidR="00791C37" w:rsidRPr="00791C37" w:rsidTr="00B04428">
        <w:tc>
          <w:tcPr>
            <w:tcW w:w="846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  <w:tc>
          <w:tcPr>
            <w:tcW w:w="2410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Rashodi poslovanja</w:t>
            </w:r>
          </w:p>
        </w:tc>
        <w:tc>
          <w:tcPr>
            <w:tcW w:w="1417" w:type="dxa"/>
          </w:tcPr>
          <w:p w:rsidR="004E01D7" w:rsidRPr="00791C37" w:rsidRDefault="00F76AE8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630.</w:t>
            </w:r>
            <w:r w:rsidR="00011FB5" w:rsidRPr="00791C37">
              <w:rPr>
                <w:rFonts w:ascii="Times New Roman" w:hAnsi="Times New Roman" w:cs="Times New Roman"/>
                <w:color w:val="262626" w:themeColor="text1" w:themeTint="D9"/>
              </w:rPr>
              <w:t>364</w:t>
            </w:r>
          </w:p>
        </w:tc>
        <w:tc>
          <w:tcPr>
            <w:tcW w:w="1276" w:type="dxa"/>
          </w:tcPr>
          <w:p w:rsidR="004E01D7" w:rsidRPr="00791C37" w:rsidRDefault="004E01D7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1.527.067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715.016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113,43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46,82</w:t>
            </w:r>
          </w:p>
        </w:tc>
      </w:tr>
      <w:tr w:rsidR="00791C37" w:rsidRPr="00791C37" w:rsidTr="00B04428">
        <w:tc>
          <w:tcPr>
            <w:tcW w:w="846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31</w:t>
            </w:r>
          </w:p>
        </w:tc>
        <w:tc>
          <w:tcPr>
            <w:tcW w:w="2410" w:type="dxa"/>
          </w:tcPr>
          <w:p w:rsidR="004E01D7" w:rsidRPr="00791C37" w:rsidRDefault="004E01D7" w:rsidP="004E01D7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Rashodi poslovanja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80.110</w:t>
            </w:r>
          </w:p>
        </w:tc>
        <w:tc>
          <w:tcPr>
            <w:tcW w:w="1276" w:type="dxa"/>
          </w:tcPr>
          <w:p w:rsidR="004E01D7" w:rsidRPr="00791C37" w:rsidRDefault="004E01D7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163.249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64.555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80,58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39,54</w:t>
            </w:r>
          </w:p>
        </w:tc>
      </w:tr>
      <w:tr w:rsidR="00791C37" w:rsidRPr="00791C37" w:rsidTr="00B04428">
        <w:tc>
          <w:tcPr>
            <w:tcW w:w="846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52</w:t>
            </w:r>
          </w:p>
        </w:tc>
        <w:tc>
          <w:tcPr>
            <w:tcW w:w="2410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Rashodi poslovanja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83.886</w:t>
            </w:r>
          </w:p>
        </w:tc>
        <w:tc>
          <w:tcPr>
            <w:tcW w:w="1276" w:type="dxa"/>
          </w:tcPr>
          <w:p w:rsidR="004E01D7" w:rsidRPr="00791C37" w:rsidRDefault="004E01D7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129.697 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59.731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71,20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46,05</w:t>
            </w:r>
          </w:p>
        </w:tc>
      </w:tr>
      <w:tr w:rsidR="00791C37" w:rsidRPr="00791C37" w:rsidTr="00B04428">
        <w:tc>
          <w:tcPr>
            <w:tcW w:w="846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61</w:t>
            </w:r>
          </w:p>
        </w:tc>
        <w:tc>
          <w:tcPr>
            <w:tcW w:w="2410" w:type="dxa"/>
          </w:tcPr>
          <w:p w:rsidR="004E01D7" w:rsidRPr="00791C37" w:rsidRDefault="004E01D7" w:rsidP="004E01D7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Rashodi poslovanja</w:t>
            </w:r>
            <w:r w:rsidR="001474A4" w:rsidRPr="00791C37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- Donacije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870</w:t>
            </w:r>
          </w:p>
        </w:tc>
        <w:tc>
          <w:tcPr>
            <w:tcW w:w="1276" w:type="dxa"/>
          </w:tcPr>
          <w:p w:rsidR="004E01D7" w:rsidRPr="00791C37" w:rsidRDefault="004E01D7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1.593</w:t>
            </w:r>
          </w:p>
        </w:tc>
        <w:tc>
          <w:tcPr>
            <w:tcW w:w="1417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</w:rPr>
              <w:t>111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12,76</w:t>
            </w:r>
          </w:p>
        </w:tc>
        <w:tc>
          <w:tcPr>
            <w:tcW w:w="993" w:type="dxa"/>
          </w:tcPr>
          <w:p w:rsidR="004E01D7" w:rsidRPr="00791C37" w:rsidRDefault="00011FB5" w:rsidP="004E01D7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6,97</w:t>
            </w:r>
          </w:p>
        </w:tc>
      </w:tr>
      <w:tr w:rsidR="00791C37" w:rsidRPr="00791C37" w:rsidTr="00B04428">
        <w:tc>
          <w:tcPr>
            <w:tcW w:w="3256" w:type="dxa"/>
            <w:gridSpan w:val="2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Ukupno rashodi po izvorima financiranja 2023.godina</w:t>
            </w:r>
          </w:p>
        </w:tc>
        <w:tc>
          <w:tcPr>
            <w:tcW w:w="1417" w:type="dxa"/>
            <w:vAlign w:val="center"/>
          </w:tcPr>
          <w:p w:rsidR="00011FB5" w:rsidRPr="00791C37" w:rsidRDefault="00011FB5" w:rsidP="00011FB5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795.230</w:t>
            </w:r>
          </w:p>
        </w:tc>
        <w:tc>
          <w:tcPr>
            <w:tcW w:w="1276" w:type="dxa"/>
            <w:vAlign w:val="center"/>
          </w:tcPr>
          <w:p w:rsidR="00011FB5" w:rsidRPr="00791C37" w:rsidRDefault="00011FB5" w:rsidP="00011FB5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1.821.606</w:t>
            </w:r>
          </w:p>
        </w:tc>
        <w:tc>
          <w:tcPr>
            <w:tcW w:w="1417" w:type="dxa"/>
            <w:vAlign w:val="center"/>
          </w:tcPr>
          <w:p w:rsidR="00011FB5" w:rsidRPr="00791C37" w:rsidRDefault="00011FB5" w:rsidP="00011FB5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</w:rPr>
              <w:t>839.413</w:t>
            </w:r>
          </w:p>
        </w:tc>
        <w:tc>
          <w:tcPr>
            <w:tcW w:w="993" w:type="dxa"/>
            <w:vAlign w:val="center"/>
          </w:tcPr>
          <w:p w:rsidR="00011FB5" w:rsidRPr="00791C37" w:rsidRDefault="00011FB5" w:rsidP="00011F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105,56</w:t>
            </w:r>
          </w:p>
        </w:tc>
        <w:tc>
          <w:tcPr>
            <w:tcW w:w="993" w:type="dxa"/>
            <w:vAlign w:val="center"/>
          </w:tcPr>
          <w:p w:rsidR="00011FB5" w:rsidRPr="00791C37" w:rsidRDefault="00011FB5" w:rsidP="00011FB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46,08</w:t>
            </w:r>
          </w:p>
        </w:tc>
      </w:tr>
      <w:tr w:rsidR="00791C37" w:rsidRPr="00791C37" w:rsidTr="00B04428">
        <w:tc>
          <w:tcPr>
            <w:tcW w:w="3256" w:type="dxa"/>
            <w:gridSpan w:val="2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011FB5" w:rsidRPr="00791C37" w:rsidRDefault="00011FB5" w:rsidP="00011FB5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223846" w:rsidRPr="00791C37" w:rsidRDefault="00223846" w:rsidP="00782A1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B04428" w:rsidRPr="00791C37" w:rsidRDefault="00B04428" w:rsidP="00262C0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izvještajnom razdoblju ukupni rashodi 2023.</w:t>
      </w:r>
      <w:r w:rsidR="001474A4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godine prema izvorima financiranja 11 Opći prihodi proračuna i 52 Pomoći nema znatniji odstupanja u odnosu na financijski plan. </w:t>
      </w:r>
      <w:r w:rsidR="000D1EA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Odstupanje (manje izvršenje) je na ra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shodi</w:t>
      </w:r>
      <w:r w:rsidR="000D1EA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 poslovanja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izvora financiranja 31 Vlastiti prihodi </w:t>
      </w:r>
      <w:r w:rsidR="000D1EA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- ostvareni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u iznosu 64.555 EUR ili 39,54%</w:t>
      </w:r>
      <w:r w:rsidR="000D1EA1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0D1EA1" w:rsidRPr="00791C37" w:rsidRDefault="000D1EA1" w:rsidP="00B044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V</w:t>
      </w:r>
      <w:r w:rsidR="00B04428"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rijednosno najznačajniji udjel u ukupnim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rashodima prvog polugodišta 2023. imaju rashodi poslovanja izvora financiranja 11 Opći prihodi proračuna - 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85,2%.</w:t>
      </w:r>
    </w:p>
    <w:p w:rsidR="005779A0" w:rsidRPr="00791C37" w:rsidRDefault="005779A0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D1EA1" w:rsidRPr="00791C37" w:rsidRDefault="000D1EA1" w:rsidP="00557EDD">
      <w:pPr>
        <w:spacing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PRIMICI I IZDACI</w:t>
      </w:r>
    </w:p>
    <w:p w:rsidR="000D1EA1" w:rsidRPr="00791C37" w:rsidRDefault="000D1EA1" w:rsidP="00557EDD">
      <w:pPr>
        <w:spacing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0D1EA1" w:rsidRPr="00791C37" w:rsidRDefault="000D1EA1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Primici od imovine i zaduživanja </w:t>
      </w: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2023. godini nisu bili planirani , pa nisu niti ostvareni.</w:t>
      </w:r>
    </w:p>
    <w:p w:rsidR="000D1EA1" w:rsidRPr="00791C37" w:rsidRDefault="000D1EA1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Također, u promatranom razdoblju Institut nije planirao, niti ostvario, izdatke po osnovi zaduživanja i zajmova.</w:t>
      </w:r>
    </w:p>
    <w:p w:rsidR="000D1EA1" w:rsidRPr="00791C37" w:rsidRDefault="000D1EA1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91C37" w:rsidRDefault="00791C37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3"/>
          <w:szCs w:val="23"/>
        </w:rPr>
      </w:pPr>
      <w:r>
        <w:rPr>
          <w:rFonts w:ascii="Times New Roman" w:hAnsi="Times New Roman" w:cs="Times New Roman"/>
          <w:color w:val="262626" w:themeColor="text1" w:themeTint="D9"/>
          <w:sz w:val="23"/>
          <w:szCs w:val="23"/>
        </w:rPr>
        <w:br/>
      </w:r>
    </w:p>
    <w:p w:rsidR="000D1EA1" w:rsidRPr="00791C37" w:rsidRDefault="00791C37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3"/>
          <w:szCs w:val="23"/>
        </w:rPr>
      </w:pPr>
      <w:r>
        <w:rPr>
          <w:rFonts w:ascii="Times New Roman" w:hAnsi="Times New Roman" w:cs="Times New Roman"/>
          <w:color w:val="262626" w:themeColor="text1" w:themeTint="D9"/>
          <w:sz w:val="23"/>
          <w:szCs w:val="23"/>
        </w:rPr>
        <w:br w:type="column"/>
      </w:r>
    </w:p>
    <w:p w:rsidR="007A6FA8" w:rsidRPr="00791C37" w:rsidRDefault="007A6FA8" w:rsidP="00557EDD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PRIJENOS SREDSTAVA IZ PRETHODNE GODINE</w:t>
      </w:r>
    </w:p>
    <w:p w:rsidR="007A6FA8" w:rsidRPr="00791C37" w:rsidRDefault="007A6FA8" w:rsidP="00557EDD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065"/>
        <w:gridCol w:w="1683"/>
        <w:gridCol w:w="1524"/>
        <w:gridCol w:w="1524"/>
      </w:tblGrid>
      <w:tr w:rsidR="00791C37" w:rsidRPr="00791C37" w:rsidTr="007A6FA8">
        <w:tc>
          <w:tcPr>
            <w:tcW w:w="1554" w:type="dxa"/>
          </w:tcPr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Izvori financiranja</w:t>
            </w:r>
          </w:p>
        </w:tc>
        <w:tc>
          <w:tcPr>
            <w:tcW w:w="3065" w:type="dxa"/>
          </w:tcPr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Prijenos</w:t>
            </w:r>
          </w:p>
        </w:tc>
        <w:tc>
          <w:tcPr>
            <w:tcW w:w="1683" w:type="dxa"/>
            <w:vAlign w:val="center"/>
          </w:tcPr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1.-6.2022.</w:t>
            </w:r>
          </w:p>
        </w:tc>
        <w:tc>
          <w:tcPr>
            <w:tcW w:w="1524" w:type="dxa"/>
            <w:vAlign w:val="center"/>
          </w:tcPr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FINANCIJSKI PLAN 2023.</w:t>
            </w:r>
          </w:p>
        </w:tc>
        <w:tc>
          <w:tcPr>
            <w:tcW w:w="1524" w:type="dxa"/>
            <w:vAlign w:val="center"/>
          </w:tcPr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5E6A1E" w:rsidRPr="00791C37" w:rsidRDefault="005E6A1E" w:rsidP="005E6A1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1.-6.2023.</w:t>
            </w:r>
          </w:p>
        </w:tc>
      </w:tr>
      <w:tr w:rsidR="00791C37" w:rsidRPr="00791C37" w:rsidTr="005E6A1E">
        <w:tc>
          <w:tcPr>
            <w:tcW w:w="1554" w:type="dxa"/>
          </w:tcPr>
          <w:p w:rsidR="00EB50D9" w:rsidRPr="00791C37" w:rsidRDefault="00EB50D9" w:rsidP="00EB50D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3065" w:type="dxa"/>
          </w:tcPr>
          <w:p w:rsidR="00EB50D9" w:rsidRPr="00791C37" w:rsidRDefault="00EB50D9" w:rsidP="00EB50D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Opći prihodi i primici</w:t>
            </w:r>
          </w:p>
        </w:tc>
        <w:tc>
          <w:tcPr>
            <w:tcW w:w="1683" w:type="dxa"/>
          </w:tcPr>
          <w:p w:rsidR="00EB50D9" w:rsidRPr="00791C37" w:rsidRDefault="00EB50D9" w:rsidP="00EB50D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1.717</w:t>
            </w:r>
          </w:p>
        </w:tc>
        <w:tc>
          <w:tcPr>
            <w:tcW w:w="1524" w:type="dxa"/>
          </w:tcPr>
          <w:p w:rsidR="00EB50D9" w:rsidRPr="00791C37" w:rsidRDefault="00EB50D9" w:rsidP="00EB50D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EB50D9" w:rsidRPr="00791C37" w:rsidRDefault="0061389B" w:rsidP="00EB50D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10.516</w:t>
            </w:r>
          </w:p>
        </w:tc>
      </w:tr>
      <w:tr w:rsidR="00791C37" w:rsidRPr="00791C37" w:rsidTr="005E6A1E">
        <w:tc>
          <w:tcPr>
            <w:tcW w:w="1554" w:type="dxa"/>
          </w:tcPr>
          <w:p w:rsidR="00EB50D9" w:rsidRPr="00791C37" w:rsidRDefault="00EB50D9" w:rsidP="00EB50D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3065" w:type="dxa"/>
          </w:tcPr>
          <w:p w:rsidR="00EB50D9" w:rsidRPr="00791C37" w:rsidRDefault="00EB50D9" w:rsidP="00EB50D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Vlastiti prihodi</w:t>
            </w:r>
          </w:p>
        </w:tc>
        <w:tc>
          <w:tcPr>
            <w:tcW w:w="1683" w:type="dxa"/>
          </w:tcPr>
          <w:p w:rsidR="00EB50D9" w:rsidRPr="00791C37" w:rsidRDefault="007A6FA8" w:rsidP="00EB50D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170.613</w:t>
            </w:r>
            <w:r w:rsidR="00B51431" w:rsidRPr="00791C37">
              <w:rPr>
                <w:rStyle w:val="FootnoteReference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footnoteReference w:id="5"/>
            </w:r>
          </w:p>
        </w:tc>
        <w:tc>
          <w:tcPr>
            <w:tcW w:w="1524" w:type="dxa"/>
          </w:tcPr>
          <w:p w:rsidR="00EB50D9" w:rsidRPr="00791C37" w:rsidRDefault="00EB50D9" w:rsidP="00EB50D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92.906</w:t>
            </w:r>
          </w:p>
        </w:tc>
        <w:tc>
          <w:tcPr>
            <w:tcW w:w="1524" w:type="dxa"/>
          </w:tcPr>
          <w:p w:rsidR="00EB50D9" w:rsidRPr="00791C37" w:rsidRDefault="0061389B" w:rsidP="00EB50D9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156.592</w:t>
            </w:r>
            <w:r w:rsidR="006B62B5"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,27</w:t>
            </w:r>
          </w:p>
        </w:tc>
      </w:tr>
      <w:tr w:rsidR="00791C37" w:rsidRPr="00791C37" w:rsidTr="005E6A1E">
        <w:tc>
          <w:tcPr>
            <w:tcW w:w="1554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3065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Ostale pomoći</w:t>
            </w:r>
          </w:p>
        </w:tc>
        <w:tc>
          <w:tcPr>
            <w:tcW w:w="1683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55.428</w:t>
            </w:r>
            <w:r w:rsidRPr="00791C37">
              <w:rPr>
                <w:rStyle w:val="FootnoteReference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footnoteReference w:id="6"/>
            </w:r>
          </w:p>
        </w:tc>
        <w:tc>
          <w:tcPr>
            <w:tcW w:w="1524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32.225</w:t>
            </w:r>
          </w:p>
        </w:tc>
        <w:tc>
          <w:tcPr>
            <w:tcW w:w="1524" w:type="dxa"/>
          </w:tcPr>
          <w:p w:rsidR="00B51431" w:rsidRPr="00791C37" w:rsidRDefault="0061389B" w:rsidP="00B51431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63.030</w:t>
            </w:r>
          </w:p>
        </w:tc>
      </w:tr>
      <w:tr w:rsidR="00791C37" w:rsidRPr="00791C37" w:rsidTr="005E6A1E">
        <w:tc>
          <w:tcPr>
            <w:tcW w:w="1554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61</w:t>
            </w:r>
          </w:p>
        </w:tc>
        <w:tc>
          <w:tcPr>
            <w:tcW w:w="3065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Donacije</w:t>
            </w:r>
          </w:p>
        </w:tc>
        <w:tc>
          <w:tcPr>
            <w:tcW w:w="1683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5.043</w:t>
            </w:r>
            <w:r w:rsidRPr="00791C37">
              <w:rPr>
                <w:rStyle w:val="FootnoteReference"/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footnoteReference w:id="7"/>
            </w:r>
          </w:p>
        </w:tc>
        <w:tc>
          <w:tcPr>
            <w:tcW w:w="1524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B51431" w:rsidRPr="00791C37" w:rsidRDefault="0061389B" w:rsidP="00B51431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7.994</w:t>
            </w:r>
          </w:p>
        </w:tc>
      </w:tr>
      <w:tr w:rsidR="00791C37" w:rsidRPr="00791C37" w:rsidTr="005E6A1E">
        <w:tc>
          <w:tcPr>
            <w:tcW w:w="4619" w:type="dxa"/>
            <w:gridSpan w:val="2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Ukupno prijenos po izvorima financiranja 2023. godina</w:t>
            </w:r>
          </w:p>
        </w:tc>
        <w:tc>
          <w:tcPr>
            <w:tcW w:w="1683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232.801</w:t>
            </w:r>
            <w:r w:rsidR="008841C3" w:rsidRPr="00791C37">
              <w:rPr>
                <w:rStyle w:val="FootnoteReference"/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footnoteReference w:id="8"/>
            </w:r>
          </w:p>
        </w:tc>
        <w:tc>
          <w:tcPr>
            <w:tcW w:w="1524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125.131</w:t>
            </w:r>
          </w:p>
        </w:tc>
        <w:tc>
          <w:tcPr>
            <w:tcW w:w="1524" w:type="dxa"/>
          </w:tcPr>
          <w:p w:rsidR="00B51431" w:rsidRPr="00791C37" w:rsidRDefault="00B51431" w:rsidP="00B51431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238.132</w:t>
            </w:r>
          </w:p>
        </w:tc>
      </w:tr>
      <w:tr w:rsidR="00791C37" w:rsidRPr="00791C37" w:rsidTr="007A6FA8">
        <w:tc>
          <w:tcPr>
            <w:tcW w:w="4619" w:type="dxa"/>
            <w:gridSpan w:val="2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83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431" w:rsidRPr="00791C37" w:rsidRDefault="00B51431" w:rsidP="00B51431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1E1355" w:rsidRPr="00791C37" w:rsidRDefault="001E1355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A824C1" w:rsidRPr="00791C37" w:rsidRDefault="007A6FA8" w:rsidP="00A824C1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PRIJENOS SREDSTAVA U SLJEDEĆE RAZDOBLJE</w:t>
      </w:r>
    </w:p>
    <w:p w:rsidR="007A6FA8" w:rsidRPr="00791C37" w:rsidRDefault="007A6FA8" w:rsidP="00A824C1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065"/>
        <w:gridCol w:w="1683"/>
        <w:gridCol w:w="1524"/>
        <w:gridCol w:w="1524"/>
      </w:tblGrid>
      <w:tr w:rsidR="005E6A1E" w:rsidRPr="00791C37" w:rsidTr="007A6FA8">
        <w:tc>
          <w:tcPr>
            <w:tcW w:w="1554" w:type="dxa"/>
          </w:tcPr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Izvori financiranja</w:t>
            </w:r>
          </w:p>
        </w:tc>
        <w:tc>
          <w:tcPr>
            <w:tcW w:w="3065" w:type="dxa"/>
          </w:tcPr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Prijenos</w:t>
            </w:r>
          </w:p>
        </w:tc>
        <w:tc>
          <w:tcPr>
            <w:tcW w:w="1683" w:type="dxa"/>
            <w:vAlign w:val="center"/>
          </w:tcPr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1.-6.2022.</w:t>
            </w:r>
          </w:p>
        </w:tc>
        <w:tc>
          <w:tcPr>
            <w:tcW w:w="1524" w:type="dxa"/>
            <w:vAlign w:val="center"/>
          </w:tcPr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FINANCIJSKI PLAN 2023.</w:t>
            </w:r>
          </w:p>
        </w:tc>
        <w:tc>
          <w:tcPr>
            <w:tcW w:w="1524" w:type="dxa"/>
            <w:vAlign w:val="center"/>
          </w:tcPr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IZVRŠENJE</w:t>
            </w:r>
          </w:p>
          <w:p w:rsidR="005E6A1E" w:rsidRPr="00791C37" w:rsidRDefault="005E6A1E" w:rsidP="007A6FA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1.-6.2023.</w:t>
            </w:r>
          </w:p>
        </w:tc>
      </w:tr>
      <w:tr w:rsidR="005E6A1E" w:rsidRPr="00791C37" w:rsidTr="007A6FA8">
        <w:tc>
          <w:tcPr>
            <w:tcW w:w="1554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3065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Opći prihodi i primici</w:t>
            </w:r>
          </w:p>
        </w:tc>
        <w:tc>
          <w:tcPr>
            <w:tcW w:w="1683" w:type="dxa"/>
          </w:tcPr>
          <w:p w:rsidR="005E6A1E" w:rsidRPr="00791C37" w:rsidRDefault="00AC1695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- 27.708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E6A1E" w:rsidRPr="00791C37" w:rsidTr="007A6FA8">
        <w:tc>
          <w:tcPr>
            <w:tcW w:w="1554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</w:t>
            </w:r>
          </w:p>
        </w:tc>
        <w:tc>
          <w:tcPr>
            <w:tcW w:w="3065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Vlastiti prihodi</w:t>
            </w:r>
          </w:p>
        </w:tc>
        <w:tc>
          <w:tcPr>
            <w:tcW w:w="1683" w:type="dxa"/>
          </w:tcPr>
          <w:p w:rsidR="005E6A1E" w:rsidRPr="00791C37" w:rsidRDefault="00C04F0C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156.143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92.906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E6A1E" w:rsidRPr="00791C37" w:rsidTr="007A6FA8">
        <w:tc>
          <w:tcPr>
            <w:tcW w:w="1554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3065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Ostale pomoći</w:t>
            </w:r>
          </w:p>
        </w:tc>
        <w:tc>
          <w:tcPr>
            <w:tcW w:w="1683" w:type="dxa"/>
          </w:tcPr>
          <w:p w:rsidR="005E6A1E" w:rsidRPr="00791C37" w:rsidRDefault="00C04F0C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87.717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32.225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E6A1E" w:rsidRPr="00791C37" w:rsidTr="007A6FA8">
        <w:tc>
          <w:tcPr>
            <w:tcW w:w="1554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61</w:t>
            </w:r>
          </w:p>
        </w:tc>
        <w:tc>
          <w:tcPr>
            <w:tcW w:w="3065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Donacije</w:t>
            </w:r>
          </w:p>
        </w:tc>
        <w:tc>
          <w:tcPr>
            <w:tcW w:w="1683" w:type="dxa"/>
          </w:tcPr>
          <w:p w:rsidR="005E6A1E" w:rsidRPr="00791C37" w:rsidRDefault="00AC1695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8.537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E6A1E" w:rsidRPr="00791C37" w:rsidTr="007A6FA8">
        <w:tc>
          <w:tcPr>
            <w:tcW w:w="4619" w:type="dxa"/>
            <w:gridSpan w:val="2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Ukupno prijenos po izvorima financiranja 2023. godina</w:t>
            </w:r>
          </w:p>
        </w:tc>
        <w:tc>
          <w:tcPr>
            <w:tcW w:w="1683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</w:t>
            </w:r>
            <w:r w:rsidR="008841C3"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24</w:t>
            </w: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.689</w:t>
            </w:r>
            <w:r w:rsidR="008841C3" w:rsidRPr="00791C37">
              <w:rPr>
                <w:rStyle w:val="FootnoteReference"/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footnoteReference w:id="9"/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125.131</w:t>
            </w: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righ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791C3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269.684</w:t>
            </w:r>
          </w:p>
        </w:tc>
      </w:tr>
      <w:tr w:rsidR="005E6A1E" w:rsidRPr="00791C37" w:rsidTr="007A6FA8">
        <w:tc>
          <w:tcPr>
            <w:tcW w:w="4619" w:type="dxa"/>
            <w:gridSpan w:val="2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83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24" w:type="dxa"/>
          </w:tcPr>
          <w:p w:rsidR="005E6A1E" w:rsidRPr="00791C37" w:rsidRDefault="005E6A1E" w:rsidP="007A6FA8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6D00E7" w:rsidRPr="00791C37" w:rsidRDefault="006D00E7" w:rsidP="00557EDD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620C0" w:rsidRPr="00791C37" w:rsidRDefault="009620C0" w:rsidP="009620C0">
      <w:pPr>
        <w:spacing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U izvještajnom razdoblju izvršenje prijenosa sredstava, </w:t>
      </w:r>
      <w:r w:rsidRPr="00791C37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hr-HR"/>
        </w:rPr>
        <w:t>odnosno višak iz prethodne godine i višak za prijenos u sljedeće razdoblje</w:t>
      </w: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iznosi 269.684 EUR koja su sredstva raspoloživa za provedbu istraživačkih projekata te financiranje rada i poslovanja Instituta.</w:t>
      </w:r>
    </w:p>
    <w:p w:rsidR="008C0673" w:rsidRPr="00791C37" w:rsidRDefault="008C0673" w:rsidP="001400F7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C0673" w:rsidRPr="00791C37" w:rsidRDefault="001474A4" w:rsidP="001474A4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Posebnih izvještaja nema.</w:t>
      </w:r>
    </w:p>
    <w:p w:rsidR="001474A4" w:rsidRPr="00791C37" w:rsidRDefault="001474A4" w:rsidP="001474A4">
      <w:pPr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474A4" w:rsidRPr="00791C37" w:rsidRDefault="001474A4" w:rsidP="001474A4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91C3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U Zagrebu, 31. srpnja 2023. godine</w:t>
      </w:r>
    </w:p>
    <w:sectPr w:rsidR="001474A4" w:rsidRPr="00791C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FC6" w:rsidRDefault="00352FC6" w:rsidP="0090259F">
      <w:pPr>
        <w:spacing w:after="0" w:line="240" w:lineRule="auto"/>
      </w:pPr>
      <w:r>
        <w:separator/>
      </w:r>
    </w:p>
  </w:endnote>
  <w:endnote w:type="continuationSeparator" w:id="0">
    <w:p w:rsidR="00352FC6" w:rsidRDefault="00352FC6" w:rsidP="0090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862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7A6FA8" w:rsidRPr="0090259F" w:rsidRDefault="007A6FA8">
        <w:pPr>
          <w:pStyle w:val="Footer"/>
          <w:jc w:val="right"/>
          <w:rPr>
            <w:rFonts w:ascii="Times New Roman" w:hAnsi="Times New Roman" w:cs="Times New Roman"/>
            <w:sz w:val="14"/>
            <w:szCs w:val="14"/>
          </w:rPr>
        </w:pPr>
        <w:r w:rsidRPr="0090259F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90259F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90259F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90259F">
          <w:rPr>
            <w:rFonts w:ascii="Times New Roman" w:hAnsi="Times New Roman" w:cs="Times New Roman"/>
            <w:sz w:val="14"/>
            <w:szCs w:val="14"/>
          </w:rPr>
          <w:t>2</w:t>
        </w:r>
        <w:r w:rsidRPr="0090259F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:rsidR="007A6FA8" w:rsidRDefault="007A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FC6" w:rsidRDefault="00352FC6" w:rsidP="0090259F">
      <w:pPr>
        <w:spacing w:after="0" w:line="240" w:lineRule="auto"/>
      </w:pPr>
      <w:r>
        <w:separator/>
      </w:r>
    </w:p>
  </w:footnote>
  <w:footnote w:type="continuationSeparator" w:id="0">
    <w:p w:rsidR="00352FC6" w:rsidRDefault="00352FC6" w:rsidP="0090259F">
      <w:pPr>
        <w:spacing w:after="0" w:line="240" w:lineRule="auto"/>
      </w:pPr>
      <w:r>
        <w:continuationSeparator/>
      </w:r>
    </w:p>
  </w:footnote>
  <w:footnote w:id="1">
    <w:p w:rsidR="00830756" w:rsidRPr="001474A4" w:rsidRDefault="00830756" w:rsidP="00830756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474A4">
        <w:rPr>
          <w:rStyle w:val="FootnoteReference"/>
          <w:rFonts w:cstheme="minorHAnsi"/>
          <w:sz w:val="20"/>
          <w:szCs w:val="20"/>
        </w:rPr>
        <w:footnoteRef/>
      </w:r>
      <w:r w:rsidRPr="001474A4">
        <w:rPr>
          <w:rFonts w:cstheme="minorHAnsi"/>
          <w:sz w:val="20"/>
          <w:szCs w:val="20"/>
        </w:rPr>
        <w:t xml:space="preserve"> sastoje se od: 7.755 eura iz Fonda solidarnosti EU za pokriće troškova potresa financiranih iz vlastitih prihoda (bespovratna sredstava) - nije u financijskom planu 2023.; 2.062 eura (19,9% plana) sredstva grada Splita za programe skupova; 57.263 eura (51,10% plana) su sredstva HrZZ za provedbu istraživačkih projekata 9.177 eura (19,82% plana), sredstva HrZZ</w:t>
      </w:r>
      <w:r w:rsidR="001474A4" w:rsidRPr="001474A4">
        <w:rPr>
          <w:rFonts w:cstheme="minorHAnsi"/>
          <w:sz w:val="20"/>
          <w:szCs w:val="20"/>
        </w:rPr>
        <w:t xml:space="preserve"> </w:t>
      </w:r>
      <w:r w:rsidRPr="001474A4">
        <w:rPr>
          <w:rFonts w:cstheme="minorHAnsi"/>
          <w:sz w:val="20"/>
          <w:szCs w:val="20"/>
        </w:rPr>
        <w:t xml:space="preserve">za plaće doktorandima 31.509 eura (47,95% plana) i sredstva Ministarstva kulture za programe </w:t>
      </w:r>
      <w:r w:rsidRPr="001474A4">
        <w:rPr>
          <w:rFonts w:cstheme="minorHAnsi"/>
          <w:bCs/>
          <w:sz w:val="20"/>
          <w:szCs w:val="20"/>
        </w:rPr>
        <w:t>16.576 eura (nije bilo potvrde pa nije u fin. planu)</w:t>
      </w:r>
    </w:p>
  </w:footnote>
  <w:footnote w:id="2">
    <w:p w:rsidR="00830756" w:rsidRPr="001474A4" w:rsidRDefault="00830756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sastoje se od: 3.276 eura (82,28% plana) od prodaje; i 119.930 eura usluge izrade konzervatorskih elaborata (75,30% plana).</w:t>
      </w:r>
      <w:r w:rsidRPr="001474A4">
        <w:rPr>
          <w:rStyle w:val="FootnoteReference"/>
          <w:rFonts w:cstheme="minorHAnsi"/>
        </w:rPr>
        <w:footnoteRef/>
      </w:r>
    </w:p>
  </w:footnote>
  <w:footnote w:id="3">
    <w:p w:rsidR="007A6FA8" w:rsidRPr="001474A4" w:rsidRDefault="007A6FA8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36 zaposlenih</w:t>
      </w:r>
      <w:r w:rsidR="00A3307A" w:rsidRPr="001474A4">
        <w:rPr>
          <w:rFonts w:cstheme="minorHAnsi"/>
        </w:rPr>
        <w:t xml:space="preserve"> +</w:t>
      </w:r>
      <w:r w:rsidRPr="001474A4">
        <w:rPr>
          <w:rFonts w:cstheme="minorHAnsi"/>
        </w:rPr>
        <w:t xml:space="preserve"> 1</w:t>
      </w:r>
      <w:r w:rsidR="00A3307A" w:rsidRPr="001474A4">
        <w:rPr>
          <w:rFonts w:cstheme="minorHAnsi"/>
        </w:rPr>
        <w:t xml:space="preserve"> </w:t>
      </w:r>
      <w:r w:rsidRPr="001474A4">
        <w:rPr>
          <w:rFonts w:cstheme="minorHAnsi"/>
        </w:rPr>
        <w:t>zamjena (nepuno radno vrijeme)</w:t>
      </w:r>
    </w:p>
  </w:footnote>
  <w:footnote w:id="4">
    <w:p w:rsidR="00A3307A" w:rsidRPr="001474A4" w:rsidRDefault="00A3307A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Na izvoru </w:t>
      </w:r>
      <w:r w:rsidR="00791C37">
        <w:rPr>
          <w:rFonts w:cstheme="minorHAnsi"/>
        </w:rPr>
        <w:t>O</w:t>
      </w:r>
      <w:r w:rsidRPr="001474A4">
        <w:rPr>
          <w:rFonts w:cstheme="minorHAnsi"/>
        </w:rPr>
        <w:t>stale pomoći su sredstva Hrvatske zaklade za znanost za provedbu kompetitivnih projekata, plaće doktorandima, namjenska sredstva na koja se Institut javlja na natječaje ministarstva znanosti i ministarstva kulture za izdavaštvo i skupove</w:t>
      </w:r>
      <w:r w:rsidR="00ED6C64" w:rsidRPr="001474A4">
        <w:rPr>
          <w:rFonts w:cstheme="minorHAnsi"/>
        </w:rPr>
        <w:t>, prihodi međunarodnih organizacija</w:t>
      </w:r>
      <w:r w:rsidRPr="001474A4">
        <w:rPr>
          <w:rFonts w:cstheme="minorHAnsi"/>
        </w:rPr>
        <w:t>.</w:t>
      </w:r>
    </w:p>
  </w:footnote>
  <w:footnote w:id="5">
    <w:p w:rsidR="007A6FA8" w:rsidRPr="001474A4" w:rsidRDefault="007A6FA8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Sredstva konzervatorskih studija 33.367 €, sredstva vlastiti prihodi proizvodi 137.246 €</w:t>
      </w:r>
    </w:p>
  </w:footnote>
  <w:footnote w:id="6">
    <w:p w:rsidR="007A6FA8" w:rsidRPr="001474A4" w:rsidRDefault="007A6FA8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Namjenska sredstva za knjige, časopise, kompetitivne projekte Zaklade i međunarodne projekte</w:t>
      </w:r>
    </w:p>
  </w:footnote>
  <w:footnote w:id="7">
    <w:p w:rsidR="007A6FA8" w:rsidRPr="001474A4" w:rsidRDefault="007A6FA8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Sredstva Zaklade Adris i Zaklade HAZU za izdavaštvo</w:t>
      </w:r>
    </w:p>
  </w:footnote>
  <w:footnote w:id="8">
    <w:p w:rsidR="007A6FA8" w:rsidRPr="001474A4" w:rsidRDefault="007A6FA8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Višak prihoda i primitaka preneseni - 1.754.035,60 HRK</w:t>
      </w:r>
    </w:p>
  </w:footnote>
  <w:footnote w:id="9">
    <w:p w:rsidR="007A6FA8" w:rsidRPr="001474A4" w:rsidRDefault="007A6FA8">
      <w:pPr>
        <w:pStyle w:val="FootnoteText"/>
        <w:rPr>
          <w:rFonts w:cstheme="minorHAnsi"/>
        </w:rPr>
      </w:pPr>
      <w:r w:rsidRPr="001474A4">
        <w:rPr>
          <w:rStyle w:val="FootnoteReference"/>
          <w:rFonts w:cstheme="minorHAnsi"/>
        </w:rPr>
        <w:footnoteRef/>
      </w:r>
      <w:r w:rsidRPr="001474A4">
        <w:rPr>
          <w:rFonts w:cstheme="minorHAnsi"/>
        </w:rPr>
        <w:t xml:space="preserve"> Višak prihoda i primitaka raspoloživ u sljedećem razdoblju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D73"/>
    <w:multiLevelType w:val="hybridMultilevel"/>
    <w:tmpl w:val="866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6362"/>
    <w:multiLevelType w:val="hybridMultilevel"/>
    <w:tmpl w:val="866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3BE3"/>
    <w:multiLevelType w:val="hybridMultilevel"/>
    <w:tmpl w:val="503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1EE"/>
    <w:multiLevelType w:val="hybridMultilevel"/>
    <w:tmpl w:val="86668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B84F27"/>
    <w:multiLevelType w:val="hybridMultilevel"/>
    <w:tmpl w:val="F89E5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71203"/>
    <w:multiLevelType w:val="hybridMultilevel"/>
    <w:tmpl w:val="6930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22C0D"/>
    <w:multiLevelType w:val="hybridMultilevel"/>
    <w:tmpl w:val="71A8B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63DD2"/>
    <w:multiLevelType w:val="hybridMultilevel"/>
    <w:tmpl w:val="9A5F7B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412ECA"/>
    <w:multiLevelType w:val="hybridMultilevel"/>
    <w:tmpl w:val="6930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5B"/>
    <w:rsid w:val="000075DA"/>
    <w:rsid w:val="00011FB5"/>
    <w:rsid w:val="000176C4"/>
    <w:rsid w:val="0004160E"/>
    <w:rsid w:val="000838B6"/>
    <w:rsid w:val="00096EC5"/>
    <w:rsid w:val="000A10CC"/>
    <w:rsid w:val="000C56F5"/>
    <w:rsid w:val="000D1EA1"/>
    <w:rsid w:val="000F17F8"/>
    <w:rsid w:val="000F4133"/>
    <w:rsid w:val="000F5AC7"/>
    <w:rsid w:val="001129A3"/>
    <w:rsid w:val="001400F7"/>
    <w:rsid w:val="001474A4"/>
    <w:rsid w:val="00187D8F"/>
    <w:rsid w:val="001A281A"/>
    <w:rsid w:val="001C7C9F"/>
    <w:rsid w:val="001E1355"/>
    <w:rsid w:val="00205687"/>
    <w:rsid w:val="0021158F"/>
    <w:rsid w:val="00221CE7"/>
    <w:rsid w:val="00223846"/>
    <w:rsid w:val="00227680"/>
    <w:rsid w:val="00240CF0"/>
    <w:rsid w:val="00244FB2"/>
    <w:rsid w:val="002563D4"/>
    <w:rsid w:val="00262C05"/>
    <w:rsid w:val="00265A80"/>
    <w:rsid w:val="0026736B"/>
    <w:rsid w:val="002B5F5B"/>
    <w:rsid w:val="002F5BE8"/>
    <w:rsid w:val="00311C91"/>
    <w:rsid w:val="00352FC6"/>
    <w:rsid w:val="00355BF1"/>
    <w:rsid w:val="00385D8B"/>
    <w:rsid w:val="003C7947"/>
    <w:rsid w:val="003D28CD"/>
    <w:rsid w:val="003D3170"/>
    <w:rsid w:val="003F0CDD"/>
    <w:rsid w:val="00412B8E"/>
    <w:rsid w:val="00425BEB"/>
    <w:rsid w:val="00426700"/>
    <w:rsid w:val="00456B19"/>
    <w:rsid w:val="00475FCC"/>
    <w:rsid w:val="004848AA"/>
    <w:rsid w:val="004877B9"/>
    <w:rsid w:val="004B22E2"/>
    <w:rsid w:val="004B2466"/>
    <w:rsid w:val="004B3D34"/>
    <w:rsid w:val="004E01D7"/>
    <w:rsid w:val="004E5CF0"/>
    <w:rsid w:val="004F1D81"/>
    <w:rsid w:val="004F3646"/>
    <w:rsid w:val="004F7235"/>
    <w:rsid w:val="005149F6"/>
    <w:rsid w:val="00524981"/>
    <w:rsid w:val="00553F26"/>
    <w:rsid w:val="00557EDD"/>
    <w:rsid w:val="00563DA4"/>
    <w:rsid w:val="00573DD0"/>
    <w:rsid w:val="005779A0"/>
    <w:rsid w:val="0058004B"/>
    <w:rsid w:val="00596841"/>
    <w:rsid w:val="005B3AD9"/>
    <w:rsid w:val="005C3B20"/>
    <w:rsid w:val="005C56F5"/>
    <w:rsid w:val="005D0694"/>
    <w:rsid w:val="005E6A1E"/>
    <w:rsid w:val="0061389B"/>
    <w:rsid w:val="00623D16"/>
    <w:rsid w:val="00646E54"/>
    <w:rsid w:val="006508C0"/>
    <w:rsid w:val="00673569"/>
    <w:rsid w:val="006918D5"/>
    <w:rsid w:val="006A77F5"/>
    <w:rsid w:val="006B62B5"/>
    <w:rsid w:val="006D00E7"/>
    <w:rsid w:val="006D14BD"/>
    <w:rsid w:val="006F294B"/>
    <w:rsid w:val="00734A82"/>
    <w:rsid w:val="00744914"/>
    <w:rsid w:val="00782A15"/>
    <w:rsid w:val="00783688"/>
    <w:rsid w:val="00791C37"/>
    <w:rsid w:val="007A0679"/>
    <w:rsid w:val="007A10D1"/>
    <w:rsid w:val="007A6FA8"/>
    <w:rsid w:val="007B650E"/>
    <w:rsid w:val="007B70AF"/>
    <w:rsid w:val="007C1122"/>
    <w:rsid w:val="00805D3B"/>
    <w:rsid w:val="0082731A"/>
    <w:rsid w:val="00830756"/>
    <w:rsid w:val="0083759B"/>
    <w:rsid w:val="008419EC"/>
    <w:rsid w:val="0086228D"/>
    <w:rsid w:val="00864FEB"/>
    <w:rsid w:val="008841C3"/>
    <w:rsid w:val="008B0896"/>
    <w:rsid w:val="008C0673"/>
    <w:rsid w:val="008F2773"/>
    <w:rsid w:val="0090259F"/>
    <w:rsid w:val="00910A52"/>
    <w:rsid w:val="009123EA"/>
    <w:rsid w:val="00916F12"/>
    <w:rsid w:val="00917959"/>
    <w:rsid w:val="009613E9"/>
    <w:rsid w:val="009620C0"/>
    <w:rsid w:val="00981593"/>
    <w:rsid w:val="009A2931"/>
    <w:rsid w:val="009A634C"/>
    <w:rsid w:val="009E3068"/>
    <w:rsid w:val="009F030A"/>
    <w:rsid w:val="009F39FD"/>
    <w:rsid w:val="009F5277"/>
    <w:rsid w:val="00A07C66"/>
    <w:rsid w:val="00A12A89"/>
    <w:rsid w:val="00A3307A"/>
    <w:rsid w:val="00A355F8"/>
    <w:rsid w:val="00A564CE"/>
    <w:rsid w:val="00A824C1"/>
    <w:rsid w:val="00A84F38"/>
    <w:rsid w:val="00AB23D7"/>
    <w:rsid w:val="00AC1695"/>
    <w:rsid w:val="00AC6BC4"/>
    <w:rsid w:val="00AD23BA"/>
    <w:rsid w:val="00AD7901"/>
    <w:rsid w:val="00AF111C"/>
    <w:rsid w:val="00B00F07"/>
    <w:rsid w:val="00B04428"/>
    <w:rsid w:val="00B17D35"/>
    <w:rsid w:val="00B3225B"/>
    <w:rsid w:val="00B40401"/>
    <w:rsid w:val="00B51431"/>
    <w:rsid w:val="00B81518"/>
    <w:rsid w:val="00B9539F"/>
    <w:rsid w:val="00BA5778"/>
    <w:rsid w:val="00BD5F47"/>
    <w:rsid w:val="00BF24C0"/>
    <w:rsid w:val="00BF62F9"/>
    <w:rsid w:val="00BF74C4"/>
    <w:rsid w:val="00C04F0C"/>
    <w:rsid w:val="00C15DBA"/>
    <w:rsid w:val="00C15EFE"/>
    <w:rsid w:val="00C30DF2"/>
    <w:rsid w:val="00C9330C"/>
    <w:rsid w:val="00CA6085"/>
    <w:rsid w:val="00CE1908"/>
    <w:rsid w:val="00CF6E57"/>
    <w:rsid w:val="00D12922"/>
    <w:rsid w:val="00D26995"/>
    <w:rsid w:val="00D320A0"/>
    <w:rsid w:val="00D32A39"/>
    <w:rsid w:val="00D41900"/>
    <w:rsid w:val="00D638BB"/>
    <w:rsid w:val="00D64AC3"/>
    <w:rsid w:val="00D867A8"/>
    <w:rsid w:val="00DA0A2D"/>
    <w:rsid w:val="00DA28EA"/>
    <w:rsid w:val="00DE1211"/>
    <w:rsid w:val="00DF0DB3"/>
    <w:rsid w:val="00DF0F20"/>
    <w:rsid w:val="00E21C69"/>
    <w:rsid w:val="00E5288A"/>
    <w:rsid w:val="00E577E5"/>
    <w:rsid w:val="00E76824"/>
    <w:rsid w:val="00E96A61"/>
    <w:rsid w:val="00EB49BD"/>
    <w:rsid w:val="00EB50D9"/>
    <w:rsid w:val="00EB57E3"/>
    <w:rsid w:val="00EB761F"/>
    <w:rsid w:val="00ED3F32"/>
    <w:rsid w:val="00ED6C64"/>
    <w:rsid w:val="00EF6328"/>
    <w:rsid w:val="00F31E52"/>
    <w:rsid w:val="00F76AE8"/>
    <w:rsid w:val="00F96B70"/>
    <w:rsid w:val="00FC57A2"/>
    <w:rsid w:val="00FD6FF2"/>
    <w:rsid w:val="00FE59C1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DE0A"/>
  <w15:chartTrackingRefBased/>
  <w15:docId w15:val="{A2631320-AADC-4C27-8453-ADA8792E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59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02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59F"/>
    <w:rPr>
      <w:lang w:val="hr-HR"/>
    </w:rPr>
  </w:style>
  <w:style w:type="paragraph" w:styleId="NormalWeb">
    <w:name w:val="Normal (Web)"/>
    <w:basedOn w:val="Normal"/>
    <w:uiPriority w:val="99"/>
    <w:semiHidden/>
    <w:unhideWhenUsed/>
    <w:rsid w:val="003C7947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customStyle="1" w:styleId="Default">
    <w:name w:val="Default"/>
    <w:rsid w:val="00CA6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customStyle="1" w:styleId="zadanifontodlomka-000006">
    <w:name w:val="zadanifontodlomka-000006"/>
    <w:basedOn w:val="DefaultParagraphFont"/>
    <w:rsid w:val="00917959"/>
    <w:rPr>
      <w:rFonts w:ascii="Times New Roman" w:hAnsi="Times New Roman" w:cs="Times New Roman" w:hint="default"/>
      <w:b w:val="0"/>
      <w:bCs w:val="0"/>
    </w:rPr>
  </w:style>
  <w:style w:type="paragraph" w:customStyle="1" w:styleId="box474667">
    <w:name w:val="box_474667"/>
    <w:basedOn w:val="Normal"/>
    <w:rsid w:val="00BF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1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908"/>
    <w:rPr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CE19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908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E1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0B61-7976-45A7-AEAD-77EFC64B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8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Nenadić</dc:creator>
  <cp:keywords/>
  <dc:description/>
  <cp:lastModifiedBy>Nela Gubić</cp:lastModifiedBy>
  <cp:revision>62</cp:revision>
  <cp:lastPrinted>2023-01-12T10:37:00Z</cp:lastPrinted>
  <dcterms:created xsi:type="dcterms:W3CDTF">2022-09-26T14:27:00Z</dcterms:created>
  <dcterms:modified xsi:type="dcterms:W3CDTF">2023-08-02T12:51:00Z</dcterms:modified>
</cp:coreProperties>
</file>